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475"/>
      <w:bookmarkStart w:id="3" w:name="_Toc15377193"/>
      <w:bookmarkStart w:id="4" w:name="_Toc15396597"/>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8442"/>
      <w:bookmarkStart w:id="8" w:name="_Toc15306268"/>
      <w:bookmarkStart w:id="9" w:name="_Toc15377426"/>
      <w:bookmarkStart w:id="10" w:name="_Toc15396598"/>
      <w:bookmarkStart w:id="11" w:name="_Toc15377194"/>
      <w:r>
        <w:rPr>
          <w:rFonts w:hint="eastAsia" w:ascii="方正小标宋简体" w:hAnsi="方正小标宋简体" w:eastAsia="方正小标宋简体" w:cs="方正小标宋简体"/>
          <w:sz w:val="72"/>
          <w:szCs w:val="72"/>
        </w:rPr>
        <w:t>国家文物出境鉴定四川站单位决算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公开时间：2022年9月9日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sz w:val="24"/>
        </w:rPr>
        <w:t>………………………………………………</w:t>
      </w:r>
      <w:r>
        <w:rPr>
          <w:rFonts w:hint="eastAsia"/>
          <w:sz w:val="24"/>
        </w:rPr>
        <w:t>1</w:t>
      </w:r>
    </w:p>
    <w:p>
      <w:pPr>
        <w:pStyle w:val="11"/>
        <w:adjustRightInd w:val="0"/>
        <w:snapToGrid w:val="0"/>
        <w:spacing w:line="440" w:lineRule="exact"/>
        <w:jc w:val="left"/>
      </w:pPr>
      <w:r>
        <w:rPr>
          <w:rFonts w:hint="eastAsia"/>
          <w:sz w:val="24"/>
        </w:rPr>
        <w:t>一、职能简介</w:t>
      </w:r>
      <w:r>
        <w:rPr>
          <w:sz w:val="24"/>
        </w:rPr>
        <w:t>………………………………………………</w:t>
      </w:r>
      <w:r>
        <w:rPr>
          <w:rFonts w:hint="eastAsia"/>
          <w:sz w:val="24"/>
        </w:rPr>
        <w:t>..1</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w:t>
      </w:r>
      <w:r>
        <w:rPr>
          <w:sz w:val="24"/>
        </w:rPr>
        <w:t>……………………………</w:t>
      </w:r>
      <w:r>
        <w:rPr>
          <w:rFonts w:hint="eastAsia"/>
          <w:sz w:val="24"/>
        </w:rPr>
        <w:t>.1</w:t>
      </w:r>
    </w:p>
    <w:p>
      <w:pPr>
        <w:pStyle w:val="10"/>
        <w:adjustRightInd w:val="0"/>
        <w:snapToGrid w:val="0"/>
        <w:spacing w:before="0" w:line="440" w:lineRule="exact"/>
        <w:jc w:val="left"/>
        <w:rPr>
          <w:sz w:val="24"/>
          <w:szCs w:val="24"/>
        </w:rPr>
      </w:pPr>
      <w:r>
        <w:rPr>
          <w:rFonts w:hint="eastAsia"/>
          <w:sz w:val="24"/>
        </w:rPr>
        <w:t xml:space="preserve">第二部分 2021年度单位决算情况说 </w:t>
      </w:r>
      <w:r>
        <w:rPr>
          <w:sz w:val="24"/>
        </w:rPr>
        <w:t>…………………………</w:t>
      </w:r>
      <w:r>
        <w:rPr>
          <w:rFonts w:hint="eastAsia"/>
          <w:sz w:val="24"/>
        </w:rPr>
        <w:t>7</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sz w:val="24"/>
        </w:rPr>
        <w:t>…………………………</w:t>
      </w:r>
      <w:r>
        <w:rPr>
          <w:rFonts w:hint="eastAsia"/>
          <w:sz w:val="24"/>
        </w:rPr>
        <w:t>..7</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sz w:val="24"/>
        </w:rPr>
        <w:t>……………………………………</w:t>
      </w:r>
      <w:r>
        <w:rPr>
          <w:rFonts w:hint="eastAsia"/>
          <w:sz w:val="24"/>
        </w:rPr>
        <w:t>..7</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sz w:val="24"/>
        </w:rPr>
        <w:t>……………………………………</w:t>
      </w:r>
      <w:r>
        <w:rPr>
          <w:rFonts w:hint="eastAsia"/>
          <w:sz w:val="24"/>
        </w:rPr>
        <w:t>..8</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sz w:val="24"/>
        </w:rPr>
        <w:t>………………</w:t>
      </w:r>
      <w:r>
        <w:rPr>
          <w:rFonts w:hint="eastAsia"/>
          <w:sz w:val="24"/>
        </w:rPr>
        <w:t>..9</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sz w:val="24"/>
        </w:rPr>
        <w:t>…………</w:t>
      </w:r>
      <w:r>
        <w:rPr>
          <w:rFonts w:hint="eastAsia"/>
          <w:sz w:val="24"/>
        </w:rPr>
        <w:t>..10</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sz w:val="24"/>
        </w:rPr>
        <w:t>……</w:t>
      </w:r>
      <w:r>
        <w:rPr>
          <w:rFonts w:hint="eastAsia"/>
          <w:sz w:val="24"/>
        </w:rPr>
        <w:t>...12</w:t>
      </w:r>
    </w:p>
    <w:p>
      <w:pPr>
        <w:pStyle w:val="11"/>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r>
        <w:rPr>
          <w:sz w:val="24"/>
        </w:rPr>
        <w:t>……………</w:t>
      </w:r>
      <w:r>
        <w:rPr>
          <w:rFonts w:hint="eastAsia"/>
          <w:sz w:val="24"/>
        </w:rPr>
        <w:t>..13</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sz w:val="24"/>
        </w:rPr>
        <w:t>…………</w:t>
      </w:r>
      <w:r>
        <w:rPr>
          <w:rFonts w:hint="eastAsia"/>
          <w:sz w:val="24"/>
        </w:rPr>
        <w:t>..</w:t>
      </w:r>
      <w:r>
        <w:rPr>
          <w:sz w:val="24"/>
        </w:rPr>
        <w:t>………</w:t>
      </w:r>
      <w:r>
        <w:rPr>
          <w:rFonts w:hint="eastAsia"/>
          <w:sz w:val="24"/>
        </w:rPr>
        <w:t>..14</w:t>
      </w:r>
    </w:p>
    <w:p>
      <w:pPr>
        <w:pStyle w:val="11"/>
        <w:adjustRightInd w:val="0"/>
        <w:snapToGrid w:val="0"/>
        <w:spacing w:line="440" w:lineRule="exact"/>
        <w:jc w:val="left"/>
        <w:rPr>
          <w:sz w:val="24"/>
        </w:rPr>
      </w:pPr>
      <w:r>
        <w:rPr>
          <w:rFonts w:hint="eastAsia"/>
          <w:sz w:val="24"/>
        </w:rPr>
        <w:t>九、国有资本经营预算支出决算情况说明</w:t>
      </w:r>
      <w:r>
        <w:rPr>
          <w:sz w:val="24"/>
        </w:rPr>
        <w:t>…</w:t>
      </w:r>
      <w:r>
        <w:rPr>
          <w:rFonts w:hint="eastAsia"/>
          <w:sz w:val="24"/>
        </w:rPr>
        <w:t>..</w:t>
      </w:r>
      <w:r>
        <w:rPr>
          <w:sz w:val="24"/>
        </w:rPr>
        <w:t>……………</w:t>
      </w:r>
      <w:r>
        <w:rPr>
          <w:rFonts w:hint="eastAsia"/>
          <w:sz w:val="24"/>
        </w:rPr>
        <w:t>..14</w:t>
      </w:r>
    </w:p>
    <w:p>
      <w:pPr>
        <w:pStyle w:val="11"/>
        <w:adjustRightInd w:val="0"/>
        <w:snapToGrid w:val="0"/>
        <w:spacing w:line="440" w:lineRule="exact"/>
        <w:jc w:val="left"/>
        <w:rPr>
          <w:sz w:val="24"/>
        </w:rPr>
      </w:pPr>
      <w:r>
        <w:rPr>
          <w:rFonts w:hint="eastAsia"/>
          <w:sz w:val="24"/>
        </w:rPr>
        <w:t>十、其他重要事项的情况说明</w:t>
      </w:r>
      <w:r>
        <w:rPr>
          <w:sz w:val="24"/>
        </w:rPr>
        <w:t>…………………………</w:t>
      </w:r>
      <w:r>
        <w:rPr>
          <w:rFonts w:hint="eastAsia"/>
          <w:sz w:val="24"/>
        </w:rPr>
        <w:t>..</w:t>
      </w:r>
      <w:r>
        <w:rPr>
          <w:sz w:val="24"/>
        </w:rPr>
        <w:t>…</w:t>
      </w:r>
      <w:r>
        <w:rPr>
          <w:rFonts w:hint="eastAsia"/>
          <w:sz w:val="24"/>
        </w:rPr>
        <w:t>..15</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17</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sz w:val="24"/>
        </w:rPr>
        <w:t>……………………………………………………</w:t>
      </w:r>
      <w:r>
        <w:rPr>
          <w:rFonts w:hint="eastAsia"/>
          <w:sz w:val="24"/>
        </w:rPr>
        <w:t>19</w:t>
      </w:r>
    </w:p>
    <w:p>
      <w:pPr>
        <w:pStyle w:val="10"/>
        <w:adjustRightInd w:val="0"/>
        <w:snapToGrid w:val="0"/>
        <w:spacing w:before="0" w:line="440" w:lineRule="exact"/>
        <w:jc w:val="left"/>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职能简介</w:t>
      </w:r>
    </w:p>
    <w:p>
      <w:pPr>
        <w:ind w:firstLine="640" w:firstLineChars="200"/>
      </w:pPr>
      <w:r>
        <w:rPr>
          <w:rFonts w:hint="eastAsia" w:ascii="仿宋" w:hAnsi="仿宋" w:eastAsia="仿宋"/>
          <w:bCs/>
          <w:color w:val="000000"/>
          <w:sz w:val="32"/>
          <w:szCs w:val="32"/>
        </w:rPr>
        <w:t>国家文物出境鉴定四川站是四川省文物局直属事业单位，主要职责是：制订文物安全规划；配合有关部门打击各种文物犯罪活动；会同有关部门对全省文物、博物馆单位的风险等级进行审核；负责文物安全技术防范工程的申报、审批和验收；组织文物出境鉴定、涉案鉴定和拍卖鉴定。</w:t>
      </w:r>
    </w:p>
    <w:p>
      <w:pPr>
        <w:pStyle w:val="4"/>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认真履行我省文物进出境审核工作职责，提升审核工作信息化服务水平,守护我省文物国门。我省所有文物进出境审核业务均通过国家文物局“综合行政管理平台”统一网上办理，除实物审核流程外，进出境审核工作全部实现信息化。因疫情影响，2021年未办理文物进出境审核业务。2022年会继续贯彻落实成都海关与省文物局签订的《合作备忘录》，开展旅检、货检等发现的疑似文物鉴定，挡获各类禁止出境文物，有效防止文物流失。</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严格按照《最高人民法院、最高人民检察院关于办理妨害文物管理等刑事案件适用法律若干问题的解释》（法释〔2015〕23号）、《涉案文物鉴定评估管理办法》等要求，结合扫黑除恶专项工作部署，开展全省涉案文物鉴定评估工作，打击各类文物犯罪活动。2021年共办理公安、检察、法院、海关等部门委托的涉案文物鉴定114次，涉及古墓葬、摩崖造像等79处，鉴定物品2339件（套），其中一级文物4件，二级文物65件，三级文物484件（套），一般文物1508件（套）。</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此外，我站积极促成各办案机构向文物部门移交罚没、收缴涉案文物。2021年成都海关、西部战区第一军事法院、</w:t>
      </w:r>
      <w:r>
        <w:rPr>
          <w:rFonts w:hint="eastAsia" w:ascii="仿宋_GB2312" w:eastAsia="仿宋_GB2312"/>
          <w:color w:val="000000"/>
          <w:sz w:val="32"/>
          <w:szCs w:val="32"/>
        </w:rPr>
        <w:t>省级机关国有资产管理中心等，</w:t>
      </w:r>
      <w:r>
        <w:rPr>
          <w:rFonts w:hint="eastAsia" w:ascii="仿宋_GB2312" w:hAnsi="仿宋" w:eastAsia="仿宋_GB2312"/>
          <w:color w:val="000000"/>
          <w:sz w:val="32"/>
          <w:szCs w:val="32"/>
        </w:rPr>
        <w:t>共向省文物局移交涉案文物66件（套），化石173件，水生濒危动物及制品61.414千克。</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组织开展馆藏文物鉴定和拟征集文物鉴定定级工作，指导各文物收藏单位做好藏品基本信息等基础工作。共鉴定成都市博物馆、三台县博物馆、苍溪县文管所等单位馆藏文物和拟征集文物15000余件（套），其中确定一级文物96件（套）、二级文物172件，三级文物901件。</w:t>
      </w:r>
    </w:p>
    <w:p>
      <w:pPr>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olor w:val="000000"/>
          <w:sz w:val="32"/>
          <w:szCs w:val="32"/>
        </w:rPr>
        <w:t>（四）协助省文物局博物馆处加强社会文物管理，开展文物拍卖经营资质审批和文物拍卖标的审核工作，推进文物市场健康有序发展。所有行政审批项目全部纳入省政务服务中心办理，截至目前，新审批设立文物拍卖企业2家，即四川八益拍卖有限公司和四川灏瀚拍卖有限责任公司。</w:t>
      </w:r>
      <w:r>
        <w:rPr>
          <w:rFonts w:hint="eastAsia" w:ascii="仿宋_GB2312" w:hAnsi="仿宋" w:eastAsia="仿宋_GB2312" w:cs="宋体"/>
          <w:color w:val="000000"/>
          <w:kern w:val="0"/>
          <w:sz w:val="32"/>
          <w:szCs w:val="32"/>
        </w:rPr>
        <w:t>全省共举办文物艺术品拍卖会23场，报审各类文物拍卖标的5759件，累计成交标的4895件，撤拍标的46件。</w:t>
      </w:r>
    </w:p>
    <w:p>
      <w:pPr>
        <w:spacing w:line="60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积极推动民间文物鉴定咨询服务工作。组织专家在春节大庙会、“5·18国际博物馆日”期间，免费为广大人民群众鉴定文物并提供收藏鉴赏咨询。加强站际交流和人才培养，与云南、河北、内蒙古、重庆、浙江等文物鉴定机构开展交流学习，派员参加国家文物局举办的文物鉴定专题培训4人次。</w:t>
      </w:r>
    </w:p>
    <w:p>
      <w:pPr>
        <w:pStyle w:val="2"/>
        <w:rPr>
          <w:rFonts w:hint="eastAsia" w:ascii="黑体" w:hAnsi="黑体" w:eastAsia="黑体" w:cstheme="majorBidi"/>
          <w:b w:val="0"/>
          <w:bCs/>
          <w:kern w:val="2"/>
          <w:sz w:val="32"/>
          <w:szCs w:val="32"/>
          <w:lang w:val="en-US" w:eastAsia="zh-CN" w:bidi="ar-SA"/>
        </w:rPr>
      </w:pPr>
    </w:p>
    <w:p>
      <w:pPr>
        <w:pStyle w:val="2"/>
        <w:rPr>
          <w:rFonts w:hint="eastAsia" w:ascii="黑体" w:hAnsi="黑体" w:eastAsia="黑体" w:cstheme="majorBidi"/>
          <w:b w:val="0"/>
          <w:bCs/>
          <w:kern w:val="2"/>
          <w:sz w:val="32"/>
          <w:szCs w:val="32"/>
          <w:lang w:val="en-US" w:eastAsia="zh-CN" w:bidi="ar-SA"/>
        </w:rPr>
      </w:pPr>
      <w:r>
        <w:rPr>
          <w:rFonts w:hint="eastAsia" w:ascii="黑体" w:hAnsi="黑体" w:eastAsia="黑体" w:cstheme="majorBidi"/>
          <w:b w:val="0"/>
          <w:bCs/>
          <w:kern w:val="2"/>
          <w:sz w:val="32"/>
          <w:szCs w:val="32"/>
          <w:lang w:val="en-US" w:eastAsia="zh-CN" w:bidi="ar-SA"/>
        </w:rPr>
        <w:t>三、机构设置情况</w:t>
      </w:r>
    </w:p>
    <w:p>
      <w:pPr>
        <w:pStyle w:val="2"/>
        <w:ind w:firstLine="640" w:firstLineChars="200"/>
        <w:rPr>
          <w:rFonts w:hint="eastAsia" w:ascii="仿宋_GB2312" w:hAnsi="仿宋" w:eastAsia="仿宋_GB2312" w:cs="Times New Roman"/>
          <w:color w:val="000000"/>
          <w:kern w:val="2"/>
          <w:sz w:val="32"/>
          <w:szCs w:val="32"/>
          <w:lang w:val="en-US" w:eastAsia="zh-CN" w:bidi="ar-SA"/>
        </w:rPr>
      </w:pPr>
      <w:r>
        <w:rPr>
          <w:rFonts w:hint="eastAsia" w:hAnsi="仿宋" w:cs="Times New Roman"/>
          <w:color w:val="000000"/>
          <w:kern w:val="2"/>
          <w:sz w:val="32"/>
          <w:szCs w:val="32"/>
          <w:lang w:val="en-US" w:eastAsia="zh-CN" w:bidi="ar-SA"/>
        </w:rPr>
        <w:t>国家文物出境鉴定四川站因单位编制数较少（编制数7人，年末实有在编人员4人），内部暂未设置内设机构。</w:t>
      </w:r>
    </w:p>
    <w:p>
      <w:pPr>
        <w:pStyle w:val="2"/>
        <w:rPr>
          <w:rFonts w:hint="default" w:ascii="黑体" w:hAnsi="黑体" w:eastAsia="黑体" w:cstheme="majorBidi"/>
          <w:b w:val="0"/>
          <w:bCs/>
          <w:kern w:val="2"/>
          <w:sz w:val="32"/>
          <w:szCs w:val="32"/>
          <w:lang w:val="en-US" w:eastAsia="zh-CN" w:bidi="ar-SA"/>
        </w:rPr>
      </w:pPr>
    </w:p>
    <w:p>
      <w:pPr>
        <w:pStyle w:val="2"/>
        <w:spacing w:before="93"/>
      </w:pPr>
    </w:p>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2021年度收、支总计129.43万元。与2020年相比，收、支总计各增加5.53万元，增长4.3</w:t>
      </w:r>
      <w:r>
        <w:rPr>
          <w:rFonts w:ascii="仿宋" w:hAnsi="仿宋" w:eastAsia="仿宋"/>
          <w:sz w:val="32"/>
          <w:szCs w:val="32"/>
        </w:rPr>
        <w:t>%</w:t>
      </w:r>
      <w:r>
        <w:rPr>
          <w:rFonts w:hint="eastAsia" w:ascii="仿宋" w:hAnsi="仿宋" w:eastAsia="仿宋"/>
          <w:sz w:val="32"/>
          <w:szCs w:val="32"/>
        </w:rPr>
        <w:t>。主要变动原因是增加了专项经费。</w:t>
      </w:r>
    </w:p>
    <w:p>
      <w:pPr>
        <w:pStyle w:val="2"/>
        <w:spacing w:before="93"/>
        <w:jc w:val="center"/>
        <w:rPr>
          <w:rFonts w:ascii="仿宋" w:hAnsi="仿宋" w:eastAsia="仿宋"/>
          <w:sz w:val="32"/>
          <w:szCs w:val="32"/>
        </w:rPr>
      </w:pPr>
      <w: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21年本年收入合计129.43万元，其中：一般公共预算财政拨款收入121.43万元，占93.82</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；其他收入8万元，占6.18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pStyle w:val="2"/>
        <w:spacing w:before="93"/>
        <w:jc w:val="center"/>
      </w:pPr>
      <w:r>
        <w:drawing>
          <wp:inline distT="0" distB="0" distL="0" distR="0">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21年本年支出合计129.43万元，其中：基本支出75.43万元，占58.28</w:t>
      </w:r>
      <w:r>
        <w:rPr>
          <w:rFonts w:ascii="仿宋" w:hAnsi="仿宋" w:eastAsia="仿宋"/>
          <w:sz w:val="32"/>
          <w:szCs w:val="32"/>
        </w:rPr>
        <w:t>%</w:t>
      </w:r>
      <w:r>
        <w:rPr>
          <w:rFonts w:hint="eastAsia" w:ascii="仿宋" w:hAnsi="仿宋" w:eastAsia="仿宋"/>
          <w:sz w:val="32"/>
          <w:szCs w:val="32"/>
        </w:rPr>
        <w:t>；项目支出54万元，占41.72</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p>
    <w:p>
      <w:pPr>
        <w:pStyle w:val="2"/>
        <w:spacing w:before="93"/>
      </w:pPr>
    </w:p>
    <w:p>
      <w:pPr>
        <w:spacing w:line="600" w:lineRule="exact"/>
        <w:ind w:firstLine="420" w:firstLineChars="200"/>
        <w:jc w:val="center"/>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441960</wp:posOffset>
            </wp:positionH>
            <wp:positionV relativeFrom="paragraph">
              <wp:posOffset>0</wp:posOffset>
            </wp:positionV>
            <wp:extent cx="4572000" cy="2743200"/>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21年财政拨款收、支总计121.43万元。与</w:t>
      </w:r>
      <w:r>
        <w:rPr>
          <w:rFonts w:ascii="仿宋" w:hAnsi="仿宋" w:eastAsia="仿宋"/>
          <w:sz w:val="32"/>
          <w:szCs w:val="32"/>
        </w:rPr>
        <w:t>20</w:t>
      </w:r>
      <w:r>
        <w:rPr>
          <w:rFonts w:hint="eastAsia" w:ascii="仿宋" w:hAnsi="仿宋" w:eastAsia="仿宋"/>
          <w:sz w:val="32"/>
          <w:szCs w:val="32"/>
        </w:rPr>
        <w:t>20年相比，财政拨款收、支总计各增加13.6万元，增长12.61</w:t>
      </w:r>
      <w:r>
        <w:rPr>
          <w:rFonts w:ascii="仿宋" w:hAnsi="仿宋" w:eastAsia="仿宋"/>
          <w:sz w:val="32"/>
          <w:szCs w:val="32"/>
        </w:rPr>
        <w:t>%</w:t>
      </w:r>
      <w:r>
        <w:rPr>
          <w:rFonts w:hint="eastAsia" w:ascii="仿宋" w:hAnsi="仿宋" w:eastAsia="仿宋"/>
          <w:sz w:val="32"/>
          <w:szCs w:val="32"/>
        </w:rPr>
        <w:t>。主要变动原因是鉴定任务增加。</w:t>
      </w:r>
    </w:p>
    <w:p>
      <w:pPr>
        <w:pStyle w:val="2"/>
        <w:spacing w:before="93"/>
        <w:jc w:val="center"/>
      </w:pPr>
      <w:r>
        <w:drawing>
          <wp:inline distT="0" distB="0" distL="0" distR="0">
            <wp:extent cx="4366260" cy="2619375"/>
            <wp:effectExtent l="0" t="0" r="152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420" w:firstLineChars="20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266700</wp:posOffset>
            </wp:positionH>
            <wp:positionV relativeFrom="paragraph">
              <wp:posOffset>1828800</wp:posOffset>
            </wp:positionV>
            <wp:extent cx="4572000" cy="274320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w:t>
      </w:r>
      <w:r>
        <w:rPr>
          <w:rFonts w:hint="eastAsia" w:ascii="仿宋" w:hAnsi="仿宋" w:eastAsia="仿宋"/>
          <w:sz w:val="32"/>
          <w:szCs w:val="32"/>
        </w:rPr>
        <w:t>21年一般公共预算财政拨款支出121.43万元，占本年支出合计的93.82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20年相比，一般公共预算财政拨款支出增加13.6万元，增长12.61</w:t>
      </w:r>
      <w:r>
        <w:rPr>
          <w:rFonts w:ascii="仿宋" w:hAnsi="仿宋" w:eastAsia="仿宋"/>
          <w:sz w:val="32"/>
          <w:szCs w:val="32"/>
        </w:rPr>
        <w:t>%</w:t>
      </w:r>
      <w:r>
        <w:rPr>
          <w:rFonts w:hint="eastAsia" w:ascii="仿宋" w:hAnsi="仿宋" w:eastAsia="仿宋"/>
          <w:sz w:val="32"/>
          <w:szCs w:val="32"/>
        </w:rPr>
        <w:t>。主要变动原因是鉴定任务增加。</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2"/>
        <w:spacing w:before="93"/>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21年一般公共预算财政拨款支出121.43万元，主要用于以下方面</w:t>
      </w:r>
      <w:r>
        <w:rPr>
          <w:rFonts w:ascii="仿宋" w:hAnsi="仿宋" w:eastAsia="仿宋"/>
          <w:sz w:val="32"/>
          <w:szCs w:val="32"/>
        </w:rPr>
        <w:t>:</w:t>
      </w:r>
      <w:r>
        <w:rPr>
          <w:rFonts w:hint="eastAsia" w:ascii="仿宋" w:hAnsi="仿宋" w:eastAsia="仿宋"/>
          <w:b/>
          <w:bCs/>
          <w:sz w:val="32"/>
          <w:szCs w:val="32"/>
        </w:rPr>
        <w:t>文化旅游体育与传媒（类）支出108.81万元，占89.61</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支出7.74万元，占6.37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1.99万元，占1.64</w:t>
      </w:r>
      <w:r>
        <w:rPr>
          <w:rFonts w:ascii="仿宋" w:hAnsi="仿宋" w:eastAsia="仿宋"/>
          <w:sz w:val="32"/>
          <w:szCs w:val="32"/>
        </w:rPr>
        <w:t>%</w:t>
      </w:r>
      <w:r>
        <w:rPr>
          <w:rFonts w:hint="eastAsia" w:ascii="仿宋" w:hAnsi="仿宋" w:eastAsia="仿宋"/>
          <w:sz w:val="32"/>
          <w:szCs w:val="32"/>
        </w:rPr>
        <w:t>；住房保障支出2.89万</w:t>
      </w:r>
      <w:r>
        <w:drawing>
          <wp:anchor distT="0" distB="0" distL="114300" distR="114300" simplePos="0" relativeHeight="251661312" behindDoc="0" locked="0" layoutInCell="1" allowOverlap="1">
            <wp:simplePos x="0" y="0"/>
            <wp:positionH relativeFrom="column">
              <wp:posOffset>323850</wp:posOffset>
            </wp:positionH>
            <wp:positionV relativeFrom="paragraph">
              <wp:posOffset>847725</wp:posOffset>
            </wp:positionV>
            <wp:extent cx="4572000" cy="274320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元，占2.38</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2021年一般公共预算支出决算数为121.43</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numPr>
          <w:ilvl w:val="0"/>
          <w:numId w:val="3"/>
        </w:num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color w:val="000000"/>
          <w:sz w:val="32"/>
          <w:szCs w:val="32"/>
        </w:rPr>
        <w:t>文化体育与传媒</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文物</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文物保护</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支出决算为35万元，完成预算100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numPr>
          <w:ilvl w:val="0"/>
          <w:numId w:val="3"/>
        </w:num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color w:val="000000"/>
          <w:sz w:val="32"/>
          <w:szCs w:val="32"/>
        </w:rPr>
        <w:t>文化体育与传媒</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文物</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博物馆</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pStyle w:val="2"/>
        <w:spacing w:before="93"/>
        <w:ind w:firstLine="643" w:firstLineChars="200"/>
      </w:pPr>
      <w:r>
        <w:rPr>
          <w:rStyle w:val="15"/>
          <w:rFonts w:hint="eastAsia" w:ascii="仿宋" w:hAnsi="仿宋" w:eastAsia="仿宋"/>
          <w:bCs/>
          <w:color w:val="000000"/>
          <w:sz w:val="32"/>
          <w:szCs w:val="32"/>
        </w:rPr>
        <w:t>3.文化体育与传媒</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文物</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其他文物支出</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支出决算为68.81万元，完成预算100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行政事业单位养老支出</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sz w:val="32"/>
          <w:szCs w:val="32"/>
        </w:rPr>
        <w:t>事业单位离退休（项）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支出决算为1.54万元，完成预算100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5</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行政事业单位养老支出</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sz w:val="32"/>
          <w:szCs w:val="32"/>
        </w:rPr>
        <w:t>机关事业单位基本养老缴费支出（项）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支出决算为4.43万元，完成预算100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pPr>
      <w:r>
        <w:rPr>
          <w:rStyle w:val="15"/>
          <w:rFonts w:hint="eastAsia" w:ascii="仿宋" w:hAnsi="仿宋" w:eastAsia="仿宋"/>
          <w:bCs/>
          <w:sz w:val="32"/>
          <w:szCs w:val="32"/>
        </w:rPr>
        <w:t>6</w:t>
      </w:r>
      <w:r>
        <w:rPr>
          <w:rStyle w:val="15"/>
          <w:rFonts w:ascii="仿宋" w:hAnsi="仿宋" w:eastAsia="仿宋"/>
          <w:bCs/>
          <w:sz w:val="32"/>
          <w:szCs w:val="32"/>
        </w:rPr>
        <w:t>.</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行政事业单位养老支出</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sz w:val="32"/>
          <w:szCs w:val="32"/>
        </w:rPr>
        <w:t>机关事业单位职业年金缴费支出（项）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支出决算为1.77万元，完成预算100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7</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支出决算为1.99万元，完成预算100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Style w:val="15"/>
          <w:rFonts w:hint="eastAsia" w:ascii="仿宋" w:hAnsi="仿宋" w:eastAsia="仿宋"/>
          <w:bCs/>
          <w:sz w:val="32"/>
          <w:szCs w:val="32"/>
        </w:rPr>
        <w:t>8.</w:t>
      </w:r>
      <w:r>
        <w:rPr>
          <w:rFonts w:hint="eastAsia"/>
        </w:rPr>
        <w:t xml:space="preserve"> </w:t>
      </w:r>
      <w:r>
        <w:rPr>
          <w:rStyle w:val="15"/>
          <w:rFonts w:hint="eastAsia" w:ascii="仿宋" w:hAnsi="仿宋" w:eastAsia="仿宋"/>
          <w:bCs/>
          <w:sz w:val="32"/>
          <w:szCs w:val="32"/>
        </w:rPr>
        <w:t>住房保障支出(类)住房改革支出(款)住房公积金(项):支出决算为2.89万元，完成预算100%。</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21年一般公共预算财政拨款基本支出67.43万元，其中：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人员经费53.93万元，主要包括：基本工资、津贴补贴、绩效工资、机关事业单位基本养老保险缴费、职业年金缴费、其他社会保障缴费、其他工资福利支出、住房公积金、其他对个人和家庭的补助支出等。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公用经费11.96万元，主要包括：办公费、邮电费、取暖费、物业管理费、差旅费、培训费、劳务费、委托业务费、工会经费、福利费、公务用车运行维护费等。</w:t>
      </w:r>
    </w:p>
    <w:p>
      <w:pPr>
        <w:spacing w:line="600" w:lineRule="exact"/>
        <w:ind w:firstLine="645"/>
        <w:rPr>
          <w:rFonts w:ascii="仿宋" w:hAnsi="仿宋" w:eastAsia="仿宋"/>
          <w:b/>
          <w:sz w:val="32"/>
          <w:szCs w:val="32"/>
        </w:rPr>
      </w:pP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21年“三公”经费财政拨款支出决算为5.43万元，完成预算98.72</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 w:hAnsi="仿宋" w:eastAsia="仿宋"/>
          <w:color w:val="000000"/>
          <w:sz w:val="32"/>
          <w:szCs w:val="32"/>
        </w:rPr>
        <w:t>按照厉行节约原则严格控制各项支出</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；公务用车购置及运行维护费支出决算5.43万元，占100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pStyle w:val="2"/>
        <w:spacing w:before="93"/>
        <w:jc w:val="center"/>
      </w:pPr>
      <w:r>
        <w:drawing>
          <wp:inline distT="0" distB="0" distL="0" distR="0">
            <wp:extent cx="4572000" cy="27432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5.43万元,</w:t>
      </w:r>
      <w:r>
        <w:rPr>
          <w:rStyle w:val="15"/>
          <w:rFonts w:hint="eastAsia" w:ascii="仿宋" w:hAnsi="仿宋" w:eastAsia="仿宋"/>
          <w:b w:val="0"/>
          <w:bCs/>
          <w:sz w:val="32"/>
          <w:szCs w:val="32"/>
        </w:rPr>
        <w:t>完成预算98.72</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20年减少0.45万元，下降7.65</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olor w:val="000000"/>
          <w:sz w:val="32"/>
          <w:szCs w:val="32"/>
        </w:rPr>
        <w:t>按照厉行节约原则严格控制各项支出</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月底，单位共有公务用车1辆，其中：轿车0辆、越野车1辆、载客汽车0辆。</w:t>
      </w:r>
    </w:p>
    <w:p>
      <w:pPr>
        <w:spacing w:line="600" w:lineRule="exact"/>
        <w:ind w:firstLine="640"/>
        <w:rPr>
          <w:rFonts w:ascii="仿宋_GB2312" w:eastAsia="仿宋_GB2312"/>
          <w:color w:val="000000"/>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5.43万元。主要用于</w:t>
      </w:r>
      <w:r>
        <w:rPr>
          <w:rFonts w:hint="eastAsia" w:ascii="仿宋_GB2312" w:eastAsia="仿宋_GB2312"/>
          <w:color w:val="000000"/>
          <w:sz w:val="32"/>
          <w:szCs w:val="32"/>
        </w:rPr>
        <w:t>保障办理全省文物进出境审核、馆藏文物鉴定、征集文物鉴定、文物拍卖标的鉴定等业务工作等所需的公务用车燃料费、维修费、过路过桥费、保险费等支出。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color w:val="000000"/>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国家文物出境鉴定四川站为事业单位，按规定未使用机关运行的相关科目。</w:t>
      </w:r>
    </w:p>
    <w:p>
      <w:pPr>
        <w:spacing w:line="600" w:lineRule="exact"/>
        <w:ind w:firstLine="640" w:firstLineChars="200"/>
        <w:rPr>
          <w:rFonts w:ascii="仿宋_GB2312" w:eastAsia="仿宋_GB2312"/>
          <w:sz w:val="32"/>
          <w:szCs w:val="32"/>
        </w:rPr>
      </w:pP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国家文物出境鉴定四川站</w:t>
      </w:r>
      <w:r>
        <w:rPr>
          <w:rFonts w:hint="eastAsia" w:ascii="仿宋_GB2312" w:eastAsia="仿宋_GB2312"/>
          <w:sz w:val="32"/>
          <w:szCs w:val="32"/>
        </w:rPr>
        <w:t>政府采购支出总额6.39万元，其中：政府采购货物支出6.39万元。主要用于</w:t>
      </w:r>
      <w:r>
        <w:rPr>
          <w:rFonts w:hint="eastAsia" w:ascii="仿宋_GB2312" w:eastAsia="仿宋_GB2312"/>
          <w:color w:val="000000"/>
          <w:sz w:val="32"/>
          <w:szCs w:val="32"/>
        </w:rPr>
        <w:t>公务用车维修保养，以及车辆燃油和办公设备购置等，保障本单位各类文物鉴定活动的正常开展。</w:t>
      </w:r>
      <w:r>
        <w:rPr>
          <w:rFonts w:hint="eastAsia" w:ascii="仿宋_GB2312" w:eastAsia="仿宋_GB2312"/>
          <w:sz w:val="32"/>
          <w:szCs w:val="32"/>
        </w:rPr>
        <w:t>。授予中小企业合同金额0万元，占政府采购支出总额的0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国家文物出境鉴定四川站</w:t>
      </w:r>
      <w:r>
        <w:rPr>
          <w:rFonts w:hint="eastAsia" w:ascii="仿宋_GB2312" w:eastAsia="仿宋_GB2312"/>
          <w:sz w:val="32"/>
          <w:szCs w:val="32"/>
        </w:rPr>
        <w:t>共有车辆1辆，其中：主要领导干部用车0辆、机要通信用车0辆、应急保障用车0辆、其他用车1辆。</w:t>
      </w:r>
      <w:r>
        <w:rPr>
          <w:rFonts w:hint="eastAsia" w:ascii="仿宋_GB2312" w:eastAsia="仿宋_GB2312"/>
          <w:color w:val="000000" w:themeColor="text1"/>
          <w:sz w:val="32"/>
          <w:szCs w:val="32"/>
        </w:rPr>
        <w:t>其他用车主要是用于</w:t>
      </w:r>
      <w:r>
        <w:rPr>
          <w:rFonts w:hint="eastAsia" w:ascii="仿宋_GB2312" w:eastAsia="仿宋_GB2312"/>
          <w:color w:val="000000"/>
          <w:sz w:val="32"/>
          <w:szCs w:val="32"/>
        </w:rPr>
        <w:t>保障办理全省文物进出境审核、馆藏文物鉴定、征集文物鉴定、文物拍卖标的鉴定等业务工作。</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w:t>
      </w:r>
      <w:r>
        <w:rPr>
          <w:rFonts w:ascii="仿宋_GB2312" w:eastAsia="仿宋_GB2312"/>
          <w:sz w:val="32"/>
          <w:szCs w:val="32"/>
        </w:rPr>
        <w:t>*</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0项目（项目名称）等0个项目开展了预算事前绩效评估，对1个项目编制了绩效目标，预算执行过程中，选取1个项目开展绩效监控，年终执行完毕后，对1个项目开展了绩效自评。本单位按要求对2021年整体支出开展绩效自评，从评价情况来看，整体执行情况较好，达到预期绩效目标。本单位还自行组织了1个项目支出绩效评价，从评价情况来看，该项目开展及时，执行进度较好，达到年初绩效目标。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其他收入：指单位取得的除上述收入以外的各项收入。主要是国家局补助经费。</w:t>
      </w:r>
    </w:p>
    <w:p>
      <w:pPr>
        <w:pStyle w:val="23"/>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文化旅游体育与传媒支出（类）文物（款）</w:t>
      </w:r>
      <w:r>
        <w:rPr>
          <w:rFonts w:hint="eastAsia" w:ascii="仿宋_GB2312" w:eastAsia="仿宋_GB2312"/>
          <w:color w:val="auto"/>
          <w:sz w:val="32"/>
          <w:szCs w:val="32"/>
          <w:lang w:eastAsia="zh-CN"/>
        </w:rPr>
        <w:t>文物保护</w:t>
      </w:r>
      <w:r>
        <w:rPr>
          <w:rFonts w:hint="eastAsia" w:ascii="仿宋_GB2312" w:eastAsia="仿宋_GB2312"/>
          <w:color w:val="auto"/>
          <w:sz w:val="32"/>
          <w:szCs w:val="32"/>
        </w:rPr>
        <w:t>（项）：指反映考古发掘及文物保护方面的支出。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文化旅游体育与传媒支出（类）文物（款）</w:t>
      </w:r>
      <w:r>
        <w:rPr>
          <w:rFonts w:hint="eastAsia" w:ascii="仿宋_GB2312" w:eastAsia="仿宋_GB2312"/>
          <w:color w:val="auto"/>
          <w:sz w:val="32"/>
          <w:szCs w:val="32"/>
          <w:lang w:eastAsia="zh-CN"/>
        </w:rPr>
        <w:t>博物馆</w:t>
      </w:r>
      <w:r>
        <w:rPr>
          <w:rFonts w:hint="eastAsia" w:ascii="仿宋_GB2312" w:eastAsia="仿宋_GB2312"/>
          <w:color w:val="auto"/>
          <w:sz w:val="32"/>
          <w:szCs w:val="32"/>
        </w:rPr>
        <w:t>（项）：</w:t>
      </w:r>
      <w:r>
        <w:rPr>
          <w:rFonts w:ascii="仿宋_GB2312" w:eastAsia="仿宋_GB2312"/>
          <w:color w:val="auto"/>
          <w:sz w:val="32"/>
          <w:szCs w:val="32"/>
        </w:rPr>
        <w:t xml:space="preserve"> 指反映文物系统及其他部门所属博物馆、纪念馆（室）的支出。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文化旅游体育与传媒支出（类）文物（款）其他文物支出（项）：主要反映单位用于人员经费、机构运转经费，以及文物局开展其他文物专项业务方面的支出。</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.社会保障和就业支出（类）行政事业单位养老支出（款）事业单位离退休（项）:反映单位退休人员经费支出。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.社会保障和就业支出（类）行政事业单位养老支出（款）机关事业单位基本养老保险缴费支出（项）:反映单位实施养老保险制度由单位缴纳的基本养老保险费支出。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.社会保障和就业支出（类）行政事业单位养老支出（款）机关事业单位职业年金缴费支出（项）:反映单位实施养老保险制度由单位实际缴纳的职业年金支出。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.社会保障和就业支出（类）其他社会保障和就业支出（款）其他社会保障和就业支出（项）: 反映单位用于其他社会保障和就业方面的支出。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.卫生健康支出（类）行政事业单位医疗（款）事业单位医疗（项）:反映单位用于事业单位基本医疗保险缴费方面的支出。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.住房保障支出（类）住房改革支出（款）住房公积金（项）: 反映单位按照四川省人社厅、财政厅规定的基本工资和津贴补贴以及规定的比例为职工缴纳的住房公积金支出。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.基本支出：指为保障机构正常运转、完成日常工作任务而发生的人员支出和公用支出。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4</w:t>
      </w:r>
      <w:bookmarkStart w:id="67" w:name="_GoBack"/>
      <w:bookmarkEnd w:id="67"/>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3"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C56A19E"/>
    <w:multiLevelType w:val="singleLevel"/>
    <w:tmpl w:val="2C56A19E"/>
    <w:lvl w:ilvl="0" w:tentative="0">
      <w:start w:val="1"/>
      <w:numFmt w:val="chineseCounting"/>
      <w:suff w:val="nothing"/>
      <w:lvlText w:val="%1、"/>
      <w:lvlJc w:val="left"/>
      <w:rPr>
        <w:rFonts w:hint="eastAsia"/>
      </w:rPr>
    </w:lvl>
  </w:abstractNum>
  <w:abstractNum w:abstractNumId="4">
    <w:nsid w:val="36538228"/>
    <w:multiLevelType w:val="singleLevel"/>
    <w:tmpl w:val="36538228"/>
    <w:lvl w:ilvl="0" w:tentative="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Y3ZmZhMTcxYjYzZjNkNzNhY2NmZjFkOWQyZDgxNW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5ED4"/>
    <w:rsid w:val="00107499"/>
    <w:rsid w:val="00114E9B"/>
    <w:rsid w:val="00142216"/>
    <w:rsid w:val="00144D6A"/>
    <w:rsid w:val="0014729F"/>
    <w:rsid w:val="00157BAB"/>
    <w:rsid w:val="001654D1"/>
    <w:rsid w:val="00167E3A"/>
    <w:rsid w:val="00174518"/>
    <w:rsid w:val="0018106D"/>
    <w:rsid w:val="001846C6"/>
    <w:rsid w:val="001877A7"/>
    <w:rsid w:val="00191536"/>
    <w:rsid w:val="00196687"/>
    <w:rsid w:val="001A79FE"/>
    <w:rsid w:val="001C0962"/>
    <w:rsid w:val="001D7531"/>
    <w:rsid w:val="001E737D"/>
    <w:rsid w:val="001F0592"/>
    <w:rsid w:val="001F5114"/>
    <w:rsid w:val="001F7506"/>
    <w:rsid w:val="002006CD"/>
    <w:rsid w:val="00202B36"/>
    <w:rsid w:val="00204B7A"/>
    <w:rsid w:val="00204CDE"/>
    <w:rsid w:val="0021101A"/>
    <w:rsid w:val="00220536"/>
    <w:rsid w:val="00226CF6"/>
    <w:rsid w:val="00235629"/>
    <w:rsid w:val="00244455"/>
    <w:rsid w:val="00260C38"/>
    <w:rsid w:val="002616C0"/>
    <w:rsid w:val="00265372"/>
    <w:rsid w:val="002662AA"/>
    <w:rsid w:val="00273F4F"/>
    <w:rsid w:val="00280496"/>
    <w:rsid w:val="00294DC9"/>
    <w:rsid w:val="00295495"/>
    <w:rsid w:val="002A31DE"/>
    <w:rsid w:val="002B2613"/>
    <w:rsid w:val="002D6D05"/>
    <w:rsid w:val="002F1818"/>
    <w:rsid w:val="002F371D"/>
    <w:rsid w:val="002F567B"/>
    <w:rsid w:val="00307A20"/>
    <w:rsid w:val="003216A9"/>
    <w:rsid w:val="00335A74"/>
    <w:rsid w:val="0036561B"/>
    <w:rsid w:val="0037013F"/>
    <w:rsid w:val="00380C92"/>
    <w:rsid w:val="00385E99"/>
    <w:rsid w:val="003A484F"/>
    <w:rsid w:val="003A4883"/>
    <w:rsid w:val="003B0BE0"/>
    <w:rsid w:val="003B0C1B"/>
    <w:rsid w:val="003B688C"/>
    <w:rsid w:val="003C0291"/>
    <w:rsid w:val="003C39AE"/>
    <w:rsid w:val="003C7B60"/>
    <w:rsid w:val="003D0C0F"/>
    <w:rsid w:val="003D1FB2"/>
    <w:rsid w:val="003D66DA"/>
    <w:rsid w:val="003E1310"/>
    <w:rsid w:val="003E18EF"/>
    <w:rsid w:val="003E6F55"/>
    <w:rsid w:val="00406254"/>
    <w:rsid w:val="00415026"/>
    <w:rsid w:val="004223DE"/>
    <w:rsid w:val="00434489"/>
    <w:rsid w:val="00437085"/>
    <w:rsid w:val="00443880"/>
    <w:rsid w:val="004464F4"/>
    <w:rsid w:val="00471401"/>
    <w:rsid w:val="00473F31"/>
    <w:rsid w:val="0048263A"/>
    <w:rsid w:val="00487E5D"/>
    <w:rsid w:val="004A711F"/>
    <w:rsid w:val="004B199D"/>
    <w:rsid w:val="004B4690"/>
    <w:rsid w:val="004C28C7"/>
    <w:rsid w:val="004C31CD"/>
    <w:rsid w:val="004E0A2D"/>
    <w:rsid w:val="004E206B"/>
    <w:rsid w:val="004E6DF7"/>
    <w:rsid w:val="004F0FBD"/>
    <w:rsid w:val="00505A47"/>
    <w:rsid w:val="00512FDA"/>
    <w:rsid w:val="00520DA0"/>
    <w:rsid w:val="005350F0"/>
    <w:rsid w:val="0054206F"/>
    <w:rsid w:val="005664BB"/>
    <w:rsid w:val="00566FFA"/>
    <w:rsid w:val="0057481D"/>
    <w:rsid w:val="0058486E"/>
    <w:rsid w:val="00585B33"/>
    <w:rsid w:val="0059014D"/>
    <w:rsid w:val="005A0298"/>
    <w:rsid w:val="005A65A6"/>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5794"/>
    <w:rsid w:val="006F020C"/>
    <w:rsid w:val="006F6FD5"/>
    <w:rsid w:val="007127B7"/>
    <w:rsid w:val="0071798E"/>
    <w:rsid w:val="007416B6"/>
    <w:rsid w:val="00746F48"/>
    <w:rsid w:val="0075404D"/>
    <w:rsid w:val="0076182A"/>
    <w:rsid w:val="00767B7E"/>
    <w:rsid w:val="007770C3"/>
    <w:rsid w:val="00784D24"/>
    <w:rsid w:val="00785FBA"/>
    <w:rsid w:val="00786E4A"/>
    <w:rsid w:val="007875EB"/>
    <w:rsid w:val="00792368"/>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0626"/>
    <w:rsid w:val="00853718"/>
    <w:rsid w:val="00855221"/>
    <w:rsid w:val="00860645"/>
    <w:rsid w:val="00871F71"/>
    <w:rsid w:val="00872FD8"/>
    <w:rsid w:val="008828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1F4D"/>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4C76"/>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71B7"/>
    <w:rsid w:val="00D34E7C"/>
    <w:rsid w:val="00D35489"/>
    <w:rsid w:val="00D36AFE"/>
    <w:rsid w:val="00D44D4A"/>
    <w:rsid w:val="00D51276"/>
    <w:rsid w:val="00D673E1"/>
    <w:rsid w:val="00D7035F"/>
    <w:rsid w:val="00DA634F"/>
    <w:rsid w:val="00DA65AC"/>
    <w:rsid w:val="00DB1913"/>
    <w:rsid w:val="00DB23C9"/>
    <w:rsid w:val="00DC410D"/>
    <w:rsid w:val="00DC5A81"/>
    <w:rsid w:val="00DC68CA"/>
    <w:rsid w:val="00DC7CBA"/>
    <w:rsid w:val="00DD6AD6"/>
    <w:rsid w:val="00DD73B7"/>
    <w:rsid w:val="00DF28BC"/>
    <w:rsid w:val="00DF34B9"/>
    <w:rsid w:val="00E01053"/>
    <w:rsid w:val="00E07ACF"/>
    <w:rsid w:val="00E331A1"/>
    <w:rsid w:val="00E33202"/>
    <w:rsid w:val="00E336A9"/>
    <w:rsid w:val="00E472B1"/>
    <w:rsid w:val="00E50624"/>
    <w:rsid w:val="00E568DF"/>
    <w:rsid w:val="00E64269"/>
    <w:rsid w:val="00E81683"/>
    <w:rsid w:val="00E82267"/>
    <w:rsid w:val="00E853CE"/>
    <w:rsid w:val="00E867B6"/>
    <w:rsid w:val="00EA010F"/>
    <w:rsid w:val="00ED1B63"/>
    <w:rsid w:val="00ED3C1F"/>
    <w:rsid w:val="00ED4085"/>
    <w:rsid w:val="00ED420E"/>
    <w:rsid w:val="00ED6FBE"/>
    <w:rsid w:val="00EE2F57"/>
    <w:rsid w:val="00EF4C34"/>
    <w:rsid w:val="00EF77C6"/>
    <w:rsid w:val="00F05438"/>
    <w:rsid w:val="00F0670C"/>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F04422"/>
    <w:rsid w:val="0A2032A3"/>
    <w:rsid w:val="0B8A37D8"/>
    <w:rsid w:val="0BDC3D0F"/>
    <w:rsid w:val="0CA62DED"/>
    <w:rsid w:val="0CE15890"/>
    <w:rsid w:val="0EE653DF"/>
    <w:rsid w:val="10C055FF"/>
    <w:rsid w:val="118107EC"/>
    <w:rsid w:val="11DD6519"/>
    <w:rsid w:val="15273705"/>
    <w:rsid w:val="16BB723D"/>
    <w:rsid w:val="18015F3F"/>
    <w:rsid w:val="1B445968"/>
    <w:rsid w:val="1BE8440E"/>
    <w:rsid w:val="1C695407"/>
    <w:rsid w:val="1D155CEE"/>
    <w:rsid w:val="20F57F95"/>
    <w:rsid w:val="2128720C"/>
    <w:rsid w:val="240371BF"/>
    <w:rsid w:val="25C741E6"/>
    <w:rsid w:val="27842671"/>
    <w:rsid w:val="29FD04D3"/>
    <w:rsid w:val="2ABE7A3E"/>
    <w:rsid w:val="2EFA178C"/>
    <w:rsid w:val="30B46D73"/>
    <w:rsid w:val="319F7F4E"/>
    <w:rsid w:val="31BA2ACB"/>
    <w:rsid w:val="32F27F93"/>
    <w:rsid w:val="33EE24BD"/>
    <w:rsid w:val="39AE70AB"/>
    <w:rsid w:val="3C0C0783"/>
    <w:rsid w:val="3E377BC9"/>
    <w:rsid w:val="3F9F3A96"/>
    <w:rsid w:val="43B50583"/>
    <w:rsid w:val="48C33AC0"/>
    <w:rsid w:val="493C27E9"/>
    <w:rsid w:val="496F39ED"/>
    <w:rsid w:val="49FF41D3"/>
    <w:rsid w:val="4BE068DB"/>
    <w:rsid w:val="4BF6002B"/>
    <w:rsid w:val="4DAE45B4"/>
    <w:rsid w:val="4ECE2238"/>
    <w:rsid w:val="51DB4B86"/>
    <w:rsid w:val="53FC1C9E"/>
    <w:rsid w:val="55333C3E"/>
    <w:rsid w:val="5809340A"/>
    <w:rsid w:val="5990084B"/>
    <w:rsid w:val="5A30680F"/>
    <w:rsid w:val="5C813B86"/>
    <w:rsid w:val="5DCF1290"/>
    <w:rsid w:val="63202A83"/>
    <w:rsid w:val="64630F83"/>
    <w:rsid w:val="64CA39A1"/>
    <w:rsid w:val="66DD5AC3"/>
    <w:rsid w:val="67286268"/>
    <w:rsid w:val="6BF24039"/>
    <w:rsid w:val="6C4A05C8"/>
    <w:rsid w:val="717C6218"/>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收、支总计</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Sheet1!$G$6:$H$6</c:f>
              <c:strCache>
                <c:ptCount val="2"/>
                <c:pt idx="0">
                  <c:v>2020年</c:v>
                </c:pt>
                <c:pt idx="1">
                  <c:v>2021年</c:v>
                </c:pt>
              </c:strCache>
            </c:strRef>
          </c:cat>
          <c:val>
            <c:numRef>
              <c:f>Sheet1!$G$7:$H$7</c:f>
              <c:numCache>
                <c:formatCode>General</c:formatCode>
                <c:ptCount val="2"/>
                <c:pt idx="0">
                  <c:v>123.9</c:v>
                </c:pt>
                <c:pt idx="1">
                  <c:v>129.43</c:v>
                </c:pt>
              </c:numCache>
            </c:numRef>
          </c:val>
        </c:ser>
        <c:dLbls>
          <c:showLegendKey val="0"/>
          <c:showVal val="1"/>
          <c:showCatName val="0"/>
          <c:showSerName val="0"/>
          <c:showPercent val="0"/>
          <c:showBubbleSize val="0"/>
        </c:dLbls>
        <c:gapWidth val="219"/>
        <c:overlap val="-27"/>
        <c:axId val="51259264"/>
        <c:axId val="51286400"/>
      </c:barChart>
      <c:catAx>
        <c:axId val="5125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86400"/>
        <c:crosses val="autoZero"/>
        <c:auto val="1"/>
        <c:lblAlgn val="ctr"/>
        <c:lblOffset val="100"/>
        <c:noMultiLvlLbl val="0"/>
      </c:catAx>
      <c:valAx>
        <c:axId val="512864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5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Sheet1!$L$6:$L$7</c:f>
              <c:strCache>
                <c:ptCount val="2"/>
                <c:pt idx="0">
                  <c:v>一般公共预算财政拨款收入</c:v>
                </c:pt>
                <c:pt idx="1">
                  <c:v>其他收入</c:v>
                </c:pt>
              </c:strCache>
            </c:strRef>
          </c:cat>
          <c:val>
            <c:numRef>
              <c:f>Sheet1!$M$6:$M$7</c:f>
              <c:numCache>
                <c:formatCode>General</c:formatCode>
                <c:ptCount val="2"/>
                <c:pt idx="0">
                  <c:v>121.43</c:v>
                </c:pt>
                <c:pt idx="1">
                  <c:v>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支出决算结构图</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Sheet2!$C$6:$C$7</c:f>
              <c:strCache>
                <c:ptCount val="2"/>
                <c:pt idx="0">
                  <c:v>基本支出</c:v>
                </c:pt>
                <c:pt idx="1">
                  <c:v>项目支出</c:v>
                </c:pt>
              </c:strCache>
            </c:strRef>
          </c:cat>
          <c:val>
            <c:numRef>
              <c:f>Sheet2!$D$6:$D$7</c:f>
              <c:numCache>
                <c:formatCode>General</c:formatCode>
                <c:ptCount val="2"/>
                <c:pt idx="0">
                  <c:v>75.43</c:v>
                </c:pt>
                <c:pt idx="1">
                  <c:v>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47044838145232"/>
          <c:y val="0.921874453193351"/>
          <c:w val="0.305910104986877"/>
          <c:h val="0.078125546806649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财政拨款收、支总计</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Sheet2!$K$6:$L$6</c:f>
              <c:strCache>
                <c:ptCount val="2"/>
                <c:pt idx="0">
                  <c:v>2020年</c:v>
                </c:pt>
                <c:pt idx="1">
                  <c:v>2021年</c:v>
                </c:pt>
              </c:strCache>
            </c:strRef>
          </c:cat>
          <c:val>
            <c:numRef>
              <c:f>Sheet2!$K$7:$L$7</c:f>
              <c:numCache>
                <c:formatCode>General</c:formatCode>
                <c:ptCount val="2"/>
                <c:pt idx="0">
                  <c:v>107.83</c:v>
                </c:pt>
                <c:pt idx="1">
                  <c:v>121.43</c:v>
                </c:pt>
              </c:numCache>
            </c:numRef>
          </c:val>
        </c:ser>
        <c:dLbls>
          <c:showLegendKey val="0"/>
          <c:showVal val="1"/>
          <c:showCatName val="0"/>
          <c:showSerName val="0"/>
          <c:showPercent val="0"/>
          <c:showBubbleSize val="0"/>
        </c:dLbls>
        <c:gapWidth val="219"/>
        <c:overlap val="-27"/>
        <c:axId val="51956736"/>
        <c:axId val="53748480"/>
      </c:barChart>
      <c:catAx>
        <c:axId val="5195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48480"/>
        <c:crosses val="autoZero"/>
        <c:auto val="1"/>
        <c:lblAlgn val="ctr"/>
        <c:lblOffset val="100"/>
        <c:noMultiLvlLbl val="0"/>
      </c:catAx>
      <c:valAx>
        <c:axId val="53748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95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Sheet3!$D$6:$E$6</c:f>
              <c:strCache>
                <c:ptCount val="2"/>
                <c:pt idx="0">
                  <c:v>2020年</c:v>
                </c:pt>
                <c:pt idx="1">
                  <c:v>2021年</c:v>
                </c:pt>
              </c:strCache>
            </c:strRef>
          </c:cat>
          <c:val>
            <c:numRef>
              <c:f>Sheet3!$D$7:$E$7</c:f>
              <c:numCache>
                <c:formatCode>General</c:formatCode>
                <c:ptCount val="2"/>
                <c:pt idx="0">
                  <c:v>107.83</c:v>
                </c:pt>
                <c:pt idx="1">
                  <c:v>121.43</c:v>
                </c:pt>
              </c:numCache>
            </c:numRef>
          </c:val>
        </c:ser>
        <c:dLbls>
          <c:showLegendKey val="0"/>
          <c:showVal val="1"/>
          <c:showCatName val="0"/>
          <c:showSerName val="0"/>
          <c:showPercent val="0"/>
          <c:showBubbleSize val="0"/>
        </c:dLbls>
        <c:gapWidth val="219"/>
        <c:overlap val="-27"/>
        <c:axId val="54547968"/>
        <c:axId val="54549888"/>
      </c:barChart>
      <c:catAx>
        <c:axId val="5454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49888"/>
        <c:crosses val="autoZero"/>
        <c:auto val="1"/>
        <c:lblAlgn val="ctr"/>
        <c:lblOffset val="100"/>
        <c:noMultiLvlLbl val="0"/>
      </c:catAx>
      <c:valAx>
        <c:axId val="54549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4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0472222222222223"/>
                  <c:y val="0"/>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0277777777777776"/>
                  <c:y val="-0.046296296296296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36111111111111"/>
                  <c:y val="-0.0046296296296296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Sheet3!$L$6:$L$9</c:f>
              <c:strCache>
                <c:ptCount val="4"/>
                <c:pt idx="0">
                  <c:v>文化旅游体育与传媒（类）支出</c:v>
                </c:pt>
                <c:pt idx="1">
                  <c:v>社会保障和就业（类）支出</c:v>
                </c:pt>
                <c:pt idx="2">
                  <c:v>卫生健康支出</c:v>
                </c:pt>
                <c:pt idx="3">
                  <c:v>住房保障支出</c:v>
                </c:pt>
              </c:strCache>
            </c:strRef>
          </c:cat>
          <c:val>
            <c:numRef>
              <c:f>Sheet3!$M$6:$M$9</c:f>
              <c:numCache>
                <c:formatCode>General</c:formatCode>
                <c:ptCount val="4"/>
                <c:pt idx="0">
                  <c:v>108.81</c:v>
                </c:pt>
                <c:pt idx="1">
                  <c:v>7.74</c:v>
                </c:pt>
                <c:pt idx="2">
                  <c:v>1.99</c:v>
                </c:pt>
                <c:pt idx="3">
                  <c:v>2.89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“三公”经费财政拨款支出结构</a:t>
            </a:r>
            <a:endParaRPr lang="zh-CN"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Sheet4!$E$7:$E$9</c:f>
              <c:strCache>
                <c:ptCount val="3"/>
                <c:pt idx="0">
                  <c:v>因公出国（境）费支出</c:v>
                </c:pt>
                <c:pt idx="1">
                  <c:v>公务用车购置及运行维护费支出</c:v>
                </c:pt>
                <c:pt idx="2">
                  <c:v>公务接待费支出</c:v>
                </c:pt>
              </c:strCache>
            </c:strRef>
          </c:cat>
          <c:val>
            <c:numRef>
              <c:f>Sheet4!$F$7:$F$9</c:f>
              <c:numCache>
                <c:formatCode>General</c:formatCode>
                <c:ptCount val="3"/>
                <c:pt idx="0">
                  <c:v>0</c:v>
                </c:pt>
                <c:pt idx="1">
                  <c:v>5.43</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5656</Words>
  <Characters>6229</Characters>
  <Lines>45</Lines>
  <Paragraphs>12</Paragraphs>
  <TotalTime>4</TotalTime>
  <ScaleCrop>false</ScaleCrop>
  <LinksUpToDate>false</LinksUpToDate>
  <CharactersWithSpaces>6258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天意</cp:lastModifiedBy>
  <cp:lastPrinted>2022-08-06T02:23:00Z</cp:lastPrinted>
  <dcterms:modified xsi:type="dcterms:W3CDTF">2022-11-14T01:54:43Z</dcterms:modified>
  <dc:title>四川省***</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58FB13E36A704C1D8264B4EB6A2ECDE1</vt:lpwstr>
  </property>
</Properties>
</file>