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四川省文物主题游径建设指南</w:t>
      </w:r>
      <w:r>
        <w:rPr>
          <w:rFonts w:hint="default" w:ascii="Times New Roman" w:hAnsi="Times New Roman" w:eastAsia="方正小标宋简体" w:cs="Times New Roman"/>
          <w:color w:val="auto"/>
          <w:sz w:val="44"/>
          <w:szCs w:val="44"/>
          <w:highlight w:val="none"/>
          <w:lang w:eastAsia="zh-CN"/>
        </w:rPr>
        <w:t>（试行）</w:t>
      </w:r>
    </w:p>
    <w:p>
      <w:pPr>
        <w:ind w:firstLine="0" w:firstLineChars="0"/>
        <w:jc w:val="center"/>
        <w:rPr>
          <w:rFonts w:hint="default"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w:t>
      </w:r>
      <w:r>
        <w:rPr>
          <w:rFonts w:hint="eastAsia" w:ascii="Times New Roman" w:hAnsi="Times New Roman" w:eastAsia="方正小标宋简体" w:cs="Times New Roman"/>
          <w:color w:val="auto"/>
          <w:sz w:val="44"/>
          <w:szCs w:val="44"/>
          <w:highlight w:val="none"/>
          <w:lang w:val="en-US" w:eastAsia="zh-CN"/>
        </w:rPr>
        <w:t>征求意见稿</w:t>
      </w:r>
      <w:r>
        <w:rPr>
          <w:rFonts w:hint="eastAsia" w:ascii="Times New Roman" w:hAnsi="Times New Roman" w:eastAsia="方正小标宋简体" w:cs="Times New Roman"/>
          <w:color w:val="auto"/>
          <w:sz w:val="44"/>
          <w:szCs w:val="44"/>
          <w:highlight w:val="none"/>
          <w:lang w:eastAsia="zh-CN"/>
        </w:rPr>
        <w:t>）</w:t>
      </w:r>
    </w:p>
    <w:p>
      <w:pPr>
        <w:ind w:firstLine="600"/>
        <w:rPr>
          <w:rFonts w:hint="default" w:ascii="Times New Roman" w:hAnsi="Times New Roman" w:cs="Times New Roman"/>
          <w:color w:val="auto"/>
          <w:highlight w:val="none"/>
        </w:rPr>
      </w:pP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【编制目的】为深入贯彻习近平总书记关于文物工作重要论述精神和新时代文物工作</w:t>
      </w:r>
      <w:r>
        <w:rPr>
          <w:rFonts w:hint="eastAsia" w:ascii="Times New Roman" w:hAnsi="Times New Roman" w:cs="Times New Roman"/>
          <w:color w:val="auto"/>
          <w:sz w:val="32"/>
          <w:szCs w:val="32"/>
          <w:highlight w:val="none"/>
          <w:lang w:eastAsia="zh-CN"/>
        </w:rPr>
        <w:t>要求</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学习</w:t>
      </w:r>
      <w:r>
        <w:rPr>
          <w:rFonts w:hint="default" w:ascii="Times New Roman" w:hAnsi="Times New Roman" w:cs="Times New Roman"/>
          <w:color w:val="auto"/>
          <w:sz w:val="32"/>
          <w:szCs w:val="32"/>
          <w:highlight w:val="none"/>
        </w:rPr>
        <w:t>贯彻省委十二届七次全会精神，</w:t>
      </w:r>
      <w:r>
        <w:rPr>
          <w:rFonts w:hint="eastAsia" w:ascii="Times New Roman" w:hAnsi="Times New Roman" w:cs="Times New Roman"/>
          <w:color w:val="auto"/>
          <w:sz w:val="32"/>
          <w:szCs w:val="32"/>
          <w:highlight w:val="none"/>
          <w:lang w:val="en-US" w:eastAsia="zh-CN"/>
        </w:rPr>
        <w:t>按照</w:t>
      </w:r>
      <w:r>
        <w:rPr>
          <w:rFonts w:hint="default" w:ascii="Times New Roman" w:hAnsi="Times New Roman" w:cs="Times New Roman"/>
          <w:color w:val="auto"/>
          <w:sz w:val="32"/>
          <w:szCs w:val="32"/>
          <w:highlight w:val="none"/>
        </w:rPr>
        <w:t>国家文物局、文化和旅游部、国家发展改革委《关于开展中国文物主题游径建设工作的通知》等要求，指导各地有序开展文物主题游径建设工作，特制订本指南。</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【适用范围】本指南适用于指导四川省县域文物主题游径的建设管理工作，区域性文物主题游径可参照执行。</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【基本原则】文物主题游径的建设，应当遵循“保护第一、合理利用，价值导向、系统阐释，文旅融合、激发活力”的原则。</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【部门职责】县级人民政府负责本行政区域内的文物主题游径建设工作。县级</w:t>
      </w:r>
      <w:r>
        <w:rPr>
          <w:rFonts w:hint="default" w:ascii="Times New Roman" w:hAnsi="Times New Roman" w:cs="Times New Roman"/>
          <w:color w:val="auto"/>
          <w:sz w:val="32"/>
          <w:szCs w:val="32"/>
          <w:highlight w:val="none"/>
          <w:shd w:val="clear" w:color="auto" w:fill="FFFFFF"/>
        </w:rPr>
        <w:t>文物主管部门依法履行文物保护监督管理职责，对不可移动文物所有人、使用人和参与文物游径建设工作相关机构宣讲政策法规，提供</w:t>
      </w:r>
      <w:r>
        <w:rPr>
          <w:rFonts w:hint="eastAsia" w:ascii="Times New Roman" w:hAnsi="Times New Roman" w:cs="Times New Roman"/>
          <w:color w:val="auto"/>
          <w:sz w:val="32"/>
          <w:szCs w:val="32"/>
          <w:highlight w:val="none"/>
          <w:shd w:val="clear" w:color="auto" w:fill="FFFFFF"/>
          <w:lang w:val="en-US" w:eastAsia="zh-CN"/>
        </w:rPr>
        <w:t>文物保护、</w:t>
      </w:r>
      <w:r>
        <w:rPr>
          <w:rFonts w:hint="default" w:ascii="Times New Roman" w:hAnsi="Times New Roman" w:cs="Times New Roman"/>
          <w:color w:val="auto"/>
          <w:sz w:val="32"/>
          <w:szCs w:val="32"/>
          <w:highlight w:val="none"/>
          <w:shd w:val="clear" w:color="auto" w:fill="FFFFFF"/>
        </w:rPr>
        <w:t>文物价值阐释等专业指导，加强监管与服务。同时，协调自然资源等部门加强政策对接，协调住房城乡建设、水利、农业农村等部门加强资源供给，推动相关历史文化遗产纳入游径建设。</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shd w:val="clear" w:color="auto" w:fill="FFFFFF"/>
        </w:rPr>
        <w:t>市（州）级文物主管部门负责指导</w:t>
      </w:r>
      <w:r>
        <w:rPr>
          <w:rFonts w:hint="default" w:ascii="Times New Roman" w:hAnsi="Times New Roman" w:cs="Times New Roman"/>
          <w:color w:val="auto"/>
          <w:sz w:val="32"/>
          <w:szCs w:val="32"/>
          <w:highlight w:val="none"/>
        </w:rPr>
        <w:t>本行政区域内的文物主题游径建设工作，统筹协调本行政区域内</w:t>
      </w:r>
      <w:r>
        <w:rPr>
          <w:rFonts w:hint="eastAsia" w:ascii="Times New Roman" w:hAnsi="Times New Roman" w:cs="Times New Roman"/>
          <w:color w:val="auto"/>
          <w:sz w:val="32"/>
          <w:szCs w:val="32"/>
          <w:highlight w:val="none"/>
          <w:lang w:eastAsia="zh-CN"/>
        </w:rPr>
        <w:t>县（区）</w:t>
      </w:r>
      <w:r>
        <w:rPr>
          <w:rFonts w:hint="default" w:ascii="Times New Roman" w:hAnsi="Times New Roman" w:cs="Times New Roman"/>
          <w:color w:val="auto"/>
          <w:sz w:val="32"/>
          <w:szCs w:val="32"/>
          <w:highlight w:val="none"/>
        </w:rPr>
        <w:t>间联合建设文物主题游径等事宜。</w:t>
      </w:r>
      <w:r>
        <w:rPr>
          <w:rFonts w:hint="eastAsia" w:ascii="Times New Roman" w:hAnsi="Times New Roman" w:cs="Times New Roman"/>
          <w:color w:val="auto"/>
          <w:sz w:val="32"/>
          <w:szCs w:val="32"/>
          <w:highlight w:val="none"/>
          <w:shd w:val="clear" w:color="auto" w:fill="FFFFFF"/>
          <w:lang w:val="en-US" w:eastAsia="zh-CN"/>
        </w:rPr>
        <w:t>跨市（州）文物主题游径需明确相关工作机制。</w:t>
      </w:r>
    </w:p>
    <w:p>
      <w:pPr>
        <w:pStyle w:val="4"/>
        <w:ind w:firstLine="600"/>
        <w:rPr>
          <w:rFonts w:hint="default" w:ascii="Times New Roman" w:hAnsi="Times New Roman" w:cs="Times New Roman"/>
          <w:color w:val="auto"/>
          <w:sz w:val="32"/>
          <w:szCs w:val="32"/>
          <w:highlight w:val="none"/>
          <w:shd w:val="clear" w:color="auto" w:fill="FFFFFF"/>
        </w:rPr>
      </w:pPr>
      <w:r>
        <w:rPr>
          <w:rFonts w:hint="default" w:ascii="Times New Roman" w:hAnsi="Times New Roman" w:cs="Times New Roman"/>
          <w:color w:val="auto"/>
          <w:sz w:val="32"/>
          <w:szCs w:val="32"/>
          <w:highlight w:val="none"/>
        </w:rPr>
        <w:t>【建设计划】</w:t>
      </w:r>
      <w:r>
        <w:rPr>
          <w:rFonts w:hint="default" w:ascii="Times New Roman" w:hAnsi="Times New Roman" w:cs="Times New Roman"/>
          <w:color w:val="auto"/>
          <w:sz w:val="32"/>
          <w:szCs w:val="32"/>
          <w:highlight w:val="none"/>
          <w:shd w:val="clear" w:color="auto" w:fill="FFFFFF"/>
        </w:rPr>
        <w:t>各地应根据文化发展和旅游需求制定文物主题游径建设目标，确定游径建设计划。</w:t>
      </w:r>
    </w:p>
    <w:p>
      <w:pPr>
        <w:ind w:firstLine="600"/>
        <w:rPr>
          <w:rFonts w:hint="default" w:ascii="Times New Roman" w:hAnsi="Times New Roman" w:cs="Times New Roman"/>
          <w:color w:val="auto"/>
          <w:sz w:val="32"/>
          <w:szCs w:val="32"/>
          <w:highlight w:val="none"/>
          <w:shd w:val="clear" w:color="auto" w:fill="FFFFFF"/>
        </w:rPr>
      </w:pPr>
      <w:r>
        <w:rPr>
          <w:rFonts w:hint="default" w:ascii="Times New Roman" w:hAnsi="Times New Roman" w:cs="Times New Roman"/>
          <w:color w:val="auto"/>
          <w:sz w:val="32"/>
          <w:szCs w:val="32"/>
          <w:highlight w:val="none"/>
          <w:shd w:val="clear" w:color="auto" w:fill="FFFFFF"/>
        </w:rPr>
        <w:t>鼓励县域间加强合作，</w:t>
      </w:r>
      <w:r>
        <w:rPr>
          <w:rFonts w:hint="default" w:ascii="Times New Roman" w:hAnsi="Times New Roman" w:cs="Times New Roman"/>
          <w:color w:val="auto"/>
          <w:sz w:val="32"/>
          <w:szCs w:val="32"/>
          <w:highlight w:val="none"/>
        </w:rPr>
        <w:t>与周边地区进行联动，形成更大范围的文化旅游线路，</w:t>
      </w:r>
      <w:r>
        <w:rPr>
          <w:rFonts w:hint="default" w:ascii="Times New Roman" w:hAnsi="Times New Roman" w:cs="Times New Roman"/>
          <w:color w:val="auto"/>
          <w:sz w:val="32"/>
          <w:szCs w:val="32"/>
          <w:highlight w:val="none"/>
          <w:shd w:val="clear" w:color="auto" w:fill="FFFFFF"/>
        </w:rPr>
        <w:t>携手探索区域文物主题游径建设，</w:t>
      </w:r>
      <w:r>
        <w:rPr>
          <w:rFonts w:hint="default" w:ascii="Times New Roman" w:hAnsi="Times New Roman" w:cs="Times New Roman"/>
          <w:color w:val="auto"/>
          <w:sz w:val="32"/>
          <w:szCs w:val="32"/>
          <w:highlight w:val="none"/>
        </w:rPr>
        <w:t>提升整体影响力。</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确定主题】确定游径主题时，应深入分析地区文化特色和历史背景，在系统梳理县域文物和文化遗产资源的基础上，可围绕古道、历史文化、历史产业、历史人物、历史事件来构建主题，形成个性鲜明、特色突出的游径主题。</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重点推动以古蜀文化、巴文化、三国文化等为代表的考古文化，以青城山、峨眉山等为代表的人文文化，以蜀道、唐蕃古道、茶马古道和南方丝绸之路为代表的古道商道，以蜀盐、窑址等为特色的产业</w:t>
      </w:r>
      <w:r>
        <w:rPr>
          <w:rFonts w:hint="eastAsia" w:ascii="Times New Roman" w:hAnsi="Times New Roman" w:cs="Times New Roman"/>
          <w:color w:val="auto"/>
          <w:sz w:val="32"/>
          <w:szCs w:val="32"/>
          <w:highlight w:val="none"/>
          <w:lang w:val="en-US" w:eastAsia="zh-CN"/>
        </w:rPr>
        <w:t>遗址</w:t>
      </w:r>
      <w:r>
        <w:rPr>
          <w:rFonts w:hint="default" w:ascii="Times New Roman" w:hAnsi="Times New Roman" w:cs="Times New Roman"/>
          <w:color w:val="auto"/>
          <w:sz w:val="32"/>
          <w:szCs w:val="32"/>
          <w:highlight w:val="none"/>
        </w:rPr>
        <w:t>，以</w:t>
      </w:r>
      <w:r>
        <w:rPr>
          <w:rFonts w:hint="eastAsia" w:ascii="Times New Roman" w:hAnsi="Times New Roman" w:cs="Times New Roman"/>
          <w:color w:val="auto"/>
          <w:sz w:val="32"/>
          <w:szCs w:val="32"/>
          <w:highlight w:val="none"/>
          <w:lang w:val="en-US" w:eastAsia="zh-CN"/>
        </w:rPr>
        <w:t>长征、</w:t>
      </w:r>
      <w:r>
        <w:rPr>
          <w:rFonts w:hint="default" w:ascii="Times New Roman" w:hAnsi="Times New Roman" w:cs="Times New Roman"/>
          <w:color w:val="auto"/>
          <w:sz w:val="32"/>
          <w:szCs w:val="32"/>
          <w:highlight w:val="none"/>
        </w:rPr>
        <w:t>川陕苏区、三线建设、</w:t>
      </w:r>
      <w:r>
        <w:rPr>
          <w:rFonts w:hint="eastAsia" w:ascii="Times New Roman" w:hAnsi="Times New Roman" w:cs="Times New Roman"/>
          <w:color w:val="auto"/>
          <w:sz w:val="32"/>
          <w:szCs w:val="32"/>
          <w:highlight w:val="none"/>
          <w:lang w:val="en-US" w:eastAsia="zh-CN"/>
        </w:rPr>
        <w:t>将帅故里</w:t>
      </w:r>
      <w:r>
        <w:rPr>
          <w:rFonts w:hint="default" w:ascii="Times New Roman" w:hAnsi="Times New Roman" w:cs="Times New Roman"/>
          <w:color w:val="auto"/>
          <w:sz w:val="32"/>
          <w:szCs w:val="32"/>
          <w:highlight w:val="none"/>
        </w:rPr>
        <w:t>等为代表的红色文化，以及石窟寺石刻、水利工程、李白故里和足迹、杜甫川行等具有四川特色的文化、资源和人物为主题的文物主题游径建设。</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鼓励围绕四川风物、建筑、名人和藏族、彝族、羌族等少数民族文化，以及其他具有明显特色的地方文化确定游径主题。</w:t>
      </w:r>
    </w:p>
    <w:p>
      <w:pPr>
        <w:pStyle w:val="4"/>
        <w:numPr>
          <w:ilvl w:val="2"/>
          <w:numId w:val="0"/>
        </w:numPr>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禁止采用封建迷信、无史实依据的虚构人物或事件作为游径主题，确保主题内容真实、科学、健康</w:t>
      </w:r>
      <w:r>
        <w:rPr>
          <w:rFonts w:hint="eastAsia" w:ascii="Times New Roman" w:hAnsi="Times New Roman" w:cs="Times New Roman"/>
          <w:color w:val="auto"/>
          <w:sz w:val="32"/>
          <w:szCs w:val="32"/>
          <w:highlight w:val="none"/>
          <w:lang w:eastAsia="zh-CN"/>
        </w:rPr>
        <w:t>。</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【资源对象】文物主题游径应形成文物和文化遗产清单，所纳入的文物资源应对主题有一定的支撑作用，或至少与主题有关联性，数量不少于3处，且原则上要有</w:t>
      </w:r>
      <w:r>
        <w:rPr>
          <w:rFonts w:hint="default" w:ascii="Times New Roman" w:hAnsi="Times New Roman" w:cs="Times New Roman"/>
          <w:color w:val="auto"/>
          <w:sz w:val="32"/>
          <w:szCs w:val="32"/>
          <w:highlight w:val="none"/>
          <w:lang w:eastAsia="zh-CN"/>
        </w:rPr>
        <w:t>市县级文物保护单位和未定级</w:t>
      </w:r>
      <w:r>
        <w:rPr>
          <w:rFonts w:hint="default" w:ascii="Times New Roman" w:hAnsi="Times New Roman" w:cs="Times New Roman"/>
          <w:color w:val="auto"/>
          <w:sz w:val="32"/>
          <w:szCs w:val="32"/>
          <w:highlight w:val="none"/>
        </w:rPr>
        <w:t>不可移动文物</w:t>
      </w:r>
      <w:r>
        <w:rPr>
          <w:rFonts w:hint="default" w:ascii="Times New Roman" w:hAnsi="Times New Roman" w:cs="Times New Roman"/>
          <w:color w:val="auto"/>
          <w:sz w:val="32"/>
          <w:szCs w:val="32"/>
          <w:highlight w:val="none"/>
          <w:lang w:eastAsia="zh-CN"/>
        </w:rPr>
        <w:t>（以下简称“</w:t>
      </w:r>
      <w:r>
        <w:rPr>
          <w:rFonts w:hint="default" w:ascii="Times New Roman" w:hAnsi="Times New Roman" w:eastAsia="仿宋_GB2312" w:cs="Times New Roman"/>
          <w:color w:val="auto"/>
          <w:sz w:val="32"/>
          <w:szCs w:val="32"/>
          <w:highlight w:val="none"/>
          <w:lang w:eastAsia="zh-CN"/>
        </w:rPr>
        <w:t>低级别</w:t>
      </w:r>
      <w:r>
        <w:rPr>
          <w:rFonts w:hint="default" w:ascii="Times New Roman" w:hAnsi="Times New Roman" w:eastAsia="仿宋_GB2312" w:cs="Times New Roman"/>
          <w:color w:val="auto"/>
          <w:sz w:val="32"/>
          <w:szCs w:val="32"/>
          <w:highlight w:val="none"/>
        </w:rPr>
        <w:t>不可移动文物</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除不可移动文物资源外，还可以将自然景观、非遗项目、传统村落等与文物资源统筹考虑，融合多种文化资源，可以结合博物馆、纪念馆、图书馆、美术馆、剧场、文化馆、非遗馆等多种文化场馆，丰富游径的内容。</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主题阐释】在游径主题框架下，研究挖掘文物资源的价值内涵，明确文物资源的阐释展示内容，应坚持价值导向，坚决避免过度商业化、娱乐化、庸俗化；坚持实物实证，保护好不可移动文物及其周边环境的历史真实性、风貌完整性、文化延续性；坚持挖掘史实，准确研究和解读文物信息，严禁用野史替代史实。</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【建设方案】县级人民政府应组织编制相应的文物主题游径建设方案。建设方案的深度应能够有效指导游径建设的主要工作，包括但不限于以下内容：</w:t>
      </w:r>
    </w:p>
    <w:p>
      <w:pPr>
        <w:pStyle w:val="19"/>
        <w:numPr>
          <w:ilvl w:val="0"/>
          <w:numId w:val="2"/>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明确主题定位和价值阐释展示方式；</w:t>
      </w:r>
    </w:p>
    <w:p>
      <w:pPr>
        <w:pStyle w:val="19"/>
        <w:numPr>
          <w:ilvl w:val="0"/>
          <w:numId w:val="2"/>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确定资源对象遴选标准，形成文物和文化遗产清单；</w:t>
      </w:r>
    </w:p>
    <w:p>
      <w:pPr>
        <w:pStyle w:val="19"/>
        <w:numPr>
          <w:ilvl w:val="0"/>
          <w:numId w:val="2"/>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提出文物保护、展示利用、标识系统、环境整治、设施配套、运营推广等具体保护和建设项目；</w:t>
      </w:r>
    </w:p>
    <w:p>
      <w:pPr>
        <w:pStyle w:val="19"/>
        <w:numPr>
          <w:ilvl w:val="0"/>
          <w:numId w:val="2"/>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明确资金估算和分期实施计划；</w:t>
      </w:r>
    </w:p>
    <w:p>
      <w:pPr>
        <w:pStyle w:val="19"/>
        <w:numPr>
          <w:ilvl w:val="0"/>
          <w:numId w:val="2"/>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制定保障措施。</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【实施建设】</w:t>
      </w:r>
      <w:r>
        <w:rPr>
          <w:rFonts w:hint="eastAsia" w:ascii="Times New Roman" w:hAnsi="Times New Roman" w:cs="Times New Roman"/>
          <w:color w:val="auto"/>
          <w:sz w:val="32"/>
          <w:szCs w:val="32"/>
          <w:highlight w:val="none"/>
          <w:lang w:val="en-US" w:eastAsia="zh-CN"/>
        </w:rPr>
        <w:t>文物主题游径建设应首先保护文物本体的安全及其历史自然环境风貌。</w:t>
      </w:r>
      <w:r>
        <w:rPr>
          <w:rFonts w:hint="default" w:ascii="Times New Roman" w:hAnsi="Times New Roman" w:cs="Times New Roman"/>
          <w:color w:val="auto"/>
          <w:sz w:val="32"/>
          <w:szCs w:val="32"/>
          <w:highlight w:val="none"/>
        </w:rPr>
        <w:t>根据建设方案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分阶段按计划有序实施游径建设工作，落实具体项目。</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游径建设过程中，应及时向社会公众公布游径文物资源、游径线路，可绘制形成相应的游径地图；可通过开展研学活动、创新游览方式、举办特色活动、发展新型业态等方式丰富游径利用方式；可通过多种渠道和形式，构建多层级宣传体系，多途径、多渠道、持续性对游径进行宣传推广。</w:t>
      </w:r>
    </w:p>
    <w:p>
      <w:pPr>
        <w:pStyle w:val="4"/>
        <w:ind w:firstLine="600"/>
        <w:rPr>
          <w:rFonts w:hint="default" w:ascii="Times New Roman" w:hAnsi="Times New Roman" w:cs="Times New Roman"/>
          <w:color w:val="auto"/>
          <w:sz w:val="32"/>
          <w:szCs w:val="32"/>
          <w:highlight w:val="none"/>
          <w:shd w:val="clear" w:color="auto" w:fill="FFFFFF"/>
        </w:rPr>
      </w:pPr>
      <w:bookmarkStart w:id="0" w:name="OLE_LINK25"/>
      <w:r>
        <w:rPr>
          <w:rFonts w:hint="default" w:ascii="Times New Roman" w:hAnsi="Times New Roman" w:cs="Times New Roman"/>
          <w:color w:val="auto"/>
          <w:sz w:val="32"/>
          <w:szCs w:val="32"/>
          <w:highlight w:val="none"/>
        </w:rPr>
        <w:t>【社会力量】鼓励公民、法人和其他组织通过多种形式参与到文物主题游径中，</w:t>
      </w:r>
      <w:r>
        <w:rPr>
          <w:rFonts w:hint="default" w:ascii="Times New Roman" w:hAnsi="Times New Roman" w:cs="Times New Roman"/>
          <w:color w:val="auto"/>
          <w:sz w:val="32"/>
          <w:szCs w:val="32"/>
          <w:highlight w:val="none"/>
          <w:shd w:val="clear" w:color="auto" w:fill="FFFFFF"/>
        </w:rPr>
        <w:t>充分发挥社会力量在</w:t>
      </w:r>
      <w:r>
        <w:rPr>
          <w:rFonts w:hint="default" w:ascii="Times New Roman" w:hAnsi="Times New Roman" w:cs="Times New Roman"/>
          <w:color w:val="auto"/>
          <w:sz w:val="32"/>
          <w:szCs w:val="32"/>
          <w:highlight w:val="none"/>
        </w:rPr>
        <w:t>文物主题游径建设、宣传、运营中的</w:t>
      </w:r>
      <w:r>
        <w:rPr>
          <w:rFonts w:hint="default" w:ascii="Times New Roman" w:hAnsi="Times New Roman" w:cs="Times New Roman"/>
          <w:color w:val="auto"/>
          <w:sz w:val="32"/>
          <w:szCs w:val="32"/>
          <w:highlight w:val="none"/>
          <w:shd w:val="clear" w:color="auto" w:fill="FFFFFF"/>
        </w:rPr>
        <w:t>积极作用，创新</w:t>
      </w:r>
      <w:r>
        <w:rPr>
          <w:rFonts w:hint="default" w:ascii="Times New Roman" w:hAnsi="Times New Roman" w:cs="Times New Roman"/>
          <w:color w:val="auto"/>
          <w:sz w:val="32"/>
          <w:szCs w:val="32"/>
          <w:highlight w:val="none"/>
        </w:rPr>
        <w:t>文物保护利用模式和运营管理</w:t>
      </w:r>
      <w:r>
        <w:rPr>
          <w:rFonts w:hint="default" w:ascii="Times New Roman" w:hAnsi="Times New Roman" w:cs="Times New Roman"/>
          <w:color w:val="auto"/>
          <w:sz w:val="32"/>
          <w:szCs w:val="32"/>
          <w:highlight w:val="none"/>
          <w:shd w:val="clear" w:color="auto" w:fill="FFFFFF"/>
        </w:rPr>
        <w:t>机制。</w:t>
      </w:r>
    </w:p>
    <w:bookmarkEnd w:id="0"/>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【认定公布】为有效推进游径建设进展，省文物局将每年组织对文物主题游径的认定工作，认定通过的文物主题游径将在省级层面进行公开发布。认定标准如下：</w:t>
      </w:r>
    </w:p>
    <w:p>
      <w:pPr>
        <w:pStyle w:val="19"/>
        <w:numPr>
          <w:ilvl w:val="0"/>
          <w:numId w:val="3"/>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文物主题游径主题明确；价值阐释真实可靠，无不实之处；</w:t>
      </w:r>
    </w:p>
    <w:p>
      <w:pPr>
        <w:pStyle w:val="19"/>
        <w:numPr>
          <w:ilvl w:val="0"/>
          <w:numId w:val="3"/>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形成文物主题游径文物和文化遗产清单。纳入文物主题游径的不可移动文物应与游径主题有关联性，数量不少于3处，且已经开放的文物</w:t>
      </w:r>
      <w:r>
        <w:rPr>
          <w:rFonts w:hint="eastAsia" w:ascii="Times New Roman" w:hAnsi="Times New Roman" w:cs="Times New Roman"/>
          <w:color w:val="auto"/>
          <w:sz w:val="32"/>
          <w:szCs w:val="32"/>
          <w:highlight w:val="none"/>
          <w:lang w:eastAsia="zh-CN"/>
        </w:rPr>
        <w:t>资源比例</w:t>
      </w:r>
      <w:r>
        <w:rPr>
          <w:rFonts w:hint="default" w:ascii="Times New Roman" w:hAnsi="Times New Roman" w:cs="Times New Roman"/>
          <w:color w:val="auto"/>
          <w:sz w:val="32"/>
          <w:szCs w:val="32"/>
          <w:highlight w:val="none"/>
        </w:rPr>
        <w:t>不</w:t>
      </w:r>
      <w:r>
        <w:rPr>
          <w:rFonts w:hint="eastAsia" w:ascii="Times New Roman" w:hAnsi="Times New Roman" w:cs="Times New Roman"/>
          <w:color w:val="auto"/>
          <w:sz w:val="32"/>
          <w:szCs w:val="32"/>
          <w:highlight w:val="none"/>
          <w:lang w:eastAsia="zh-CN"/>
        </w:rPr>
        <w:t>低</w:t>
      </w:r>
      <w:r>
        <w:rPr>
          <w:rFonts w:hint="default" w:ascii="Times New Roman" w:hAnsi="Times New Roman" w:cs="Times New Roman"/>
          <w:color w:val="auto"/>
          <w:sz w:val="32"/>
          <w:szCs w:val="32"/>
          <w:highlight w:val="none"/>
        </w:rPr>
        <w:t>于</w:t>
      </w:r>
      <w:r>
        <w:rPr>
          <w:rFonts w:hint="eastAsia" w:ascii="Times New Roman" w:hAnsi="Times New Roman" w:cs="Times New Roman"/>
          <w:color w:val="auto"/>
          <w:sz w:val="32"/>
          <w:szCs w:val="32"/>
          <w:highlight w:val="none"/>
          <w:lang w:val="en-US" w:eastAsia="zh-CN"/>
        </w:rPr>
        <w:t>80%</w:t>
      </w:r>
      <w:r>
        <w:rPr>
          <w:rFonts w:hint="default" w:ascii="Times New Roman" w:hAnsi="Times New Roman" w:cs="Times New Roman"/>
          <w:color w:val="auto"/>
          <w:sz w:val="32"/>
          <w:szCs w:val="32"/>
          <w:highlight w:val="none"/>
        </w:rPr>
        <w:t>。</w:t>
      </w:r>
    </w:p>
    <w:p>
      <w:pPr>
        <w:pStyle w:val="19"/>
        <w:numPr>
          <w:ilvl w:val="0"/>
          <w:numId w:val="3"/>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编制有文物主题游径建设方案，并按照方案中的计划逐步实施。</w:t>
      </w:r>
    </w:p>
    <w:p>
      <w:pPr>
        <w:pStyle w:val="19"/>
        <w:numPr>
          <w:ilvl w:val="0"/>
          <w:numId w:val="3"/>
        </w:numPr>
        <w:ind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根据实际情况，对纳入资源清单的</w:t>
      </w:r>
      <w:r>
        <w:rPr>
          <w:rFonts w:hint="default" w:ascii="Times New Roman" w:hAnsi="Times New Roman" w:eastAsia="仿宋_GB2312" w:cs="Times New Roman"/>
          <w:color w:val="auto"/>
          <w:sz w:val="32"/>
          <w:szCs w:val="32"/>
          <w:highlight w:val="none"/>
          <w:lang w:eastAsia="zh-CN"/>
        </w:rPr>
        <w:t>低级别</w:t>
      </w:r>
      <w:r>
        <w:rPr>
          <w:rFonts w:hint="default" w:ascii="Times New Roman" w:hAnsi="Times New Roman" w:eastAsia="仿宋_GB2312" w:cs="Times New Roman"/>
          <w:color w:val="auto"/>
          <w:sz w:val="32"/>
          <w:szCs w:val="32"/>
          <w:highlight w:val="none"/>
        </w:rPr>
        <w:t>不可移动文物</w:t>
      </w:r>
      <w:r>
        <w:rPr>
          <w:rFonts w:hint="default" w:ascii="Times New Roman" w:hAnsi="Times New Roman" w:cs="Times New Roman"/>
          <w:color w:val="auto"/>
          <w:sz w:val="32"/>
          <w:szCs w:val="32"/>
          <w:highlight w:val="none"/>
        </w:rPr>
        <w:t>进行提级定级，对新发现的不可移动文物进行公布。</w:t>
      </w:r>
    </w:p>
    <w:p>
      <w:pPr>
        <w:pStyle w:val="19"/>
        <w:numPr>
          <w:ilvl w:val="0"/>
          <w:numId w:val="3"/>
        </w:numPr>
        <w:ind w:left="0" w:leftChars="0" w:firstLine="600" w:firstLineChars="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有条件开放展示的文物资源，配有体现文物主题游径的展示说明牌和资源分布图。</w:t>
      </w:r>
    </w:p>
    <w:p>
      <w:pPr>
        <w:pStyle w:val="4"/>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【资金支持】经过省文物局认定公布的文物主题游径，纳入资源名单的文物保护修缮、陈列展示、环境整治等具体项目，可申请</w:t>
      </w:r>
      <w:r>
        <w:rPr>
          <w:rFonts w:hint="default" w:ascii="Times New Roman" w:hAnsi="Times New Roman" w:cs="Times New Roman"/>
          <w:color w:val="auto"/>
          <w:sz w:val="32"/>
          <w:szCs w:val="32"/>
          <w:highlight w:val="none"/>
          <w:lang w:eastAsia="zh-CN"/>
        </w:rPr>
        <w:t>国家和省级</w:t>
      </w:r>
      <w:r>
        <w:rPr>
          <w:rFonts w:hint="default" w:ascii="Times New Roman" w:hAnsi="Times New Roman" w:cs="Times New Roman"/>
          <w:color w:val="auto"/>
          <w:sz w:val="32"/>
          <w:szCs w:val="32"/>
          <w:highlight w:val="none"/>
        </w:rPr>
        <w:t>文物保护资金。</w:t>
      </w:r>
      <w:r>
        <w:rPr>
          <w:rFonts w:hint="default" w:ascii="Times New Roman" w:hAnsi="Times New Roman" w:cs="Times New Roman"/>
          <w:color w:val="auto"/>
          <w:sz w:val="32"/>
          <w:szCs w:val="32"/>
          <w:highlight w:val="none"/>
          <w:lang w:eastAsia="zh-CN"/>
        </w:rPr>
        <w:t>其中，对游径建设中的</w:t>
      </w:r>
      <w:r>
        <w:rPr>
          <w:rFonts w:hint="default" w:ascii="Times New Roman" w:hAnsi="Times New Roman" w:cs="Times New Roman"/>
          <w:color w:val="auto"/>
          <w:sz w:val="32"/>
          <w:szCs w:val="32"/>
          <w:highlight w:val="none"/>
        </w:rPr>
        <w:t>低级别文物保护利用项目</w:t>
      </w:r>
      <w:r>
        <w:rPr>
          <w:rFonts w:hint="default" w:ascii="Times New Roman" w:hAnsi="Times New Roman" w:cs="Times New Roman"/>
          <w:color w:val="auto"/>
          <w:sz w:val="32"/>
          <w:szCs w:val="32"/>
          <w:highlight w:val="none"/>
          <w:lang w:eastAsia="zh-CN"/>
        </w:rPr>
        <w:t>，省级</w:t>
      </w:r>
      <w:r>
        <w:rPr>
          <w:rFonts w:hint="default" w:ascii="Times New Roman" w:hAnsi="Times New Roman" w:cs="Times New Roman"/>
          <w:color w:val="auto"/>
          <w:sz w:val="32"/>
          <w:szCs w:val="32"/>
          <w:highlight w:val="none"/>
        </w:rPr>
        <w:t>文物保护资金补助比例</w:t>
      </w:r>
      <w:r>
        <w:rPr>
          <w:rFonts w:hint="default" w:ascii="Times New Roman" w:hAnsi="Times New Roman" w:cs="Times New Roman"/>
          <w:color w:val="auto"/>
          <w:sz w:val="32"/>
          <w:szCs w:val="32"/>
          <w:highlight w:val="none"/>
          <w:lang w:eastAsia="zh-CN"/>
        </w:rPr>
        <w:t>不低于</w:t>
      </w:r>
      <w:r>
        <w:rPr>
          <w:rFonts w:hint="default" w:ascii="Times New Roman" w:hAnsi="Times New Roman" w:cs="Times New Roman"/>
          <w:color w:val="auto"/>
          <w:sz w:val="32"/>
          <w:szCs w:val="32"/>
          <w:highlight w:val="none"/>
        </w:rPr>
        <w:t>50%。所申报和补助的项目资金应符合《四川省文物保护专项补助资金管理办法》</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川财教</w:t>
      </w:r>
      <w:r>
        <w:rPr>
          <w:rFonts w:hint="default" w:ascii="Times New Roman" w:hAnsi="Times New Roman" w:cs="Times New Roman"/>
          <w:color w:val="auto"/>
          <w:sz w:val="32"/>
          <w:szCs w:val="32"/>
          <w:highlight w:val="none"/>
          <w:shd w:val="clear" w:color="auto" w:fill="FFFFFF"/>
        </w:rPr>
        <w:t>〔2020〕90</w:t>
      </w:r>
      <w:r>
        <w:rPr>
          <w:rFonts w:hint="default" w:ascii="Times New Roman" w:hAnsi="Times New Roman" w:cs="Times New Roman"/>
          <w:color w:val="auto"/>
          <w:sz w:val="32"/>
          <w:szCs w:val="32"/>
          <w:highlight w:val="none"/>
        </w:rPr>
        <w:t>号</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规定的补助范围和支出内容。</w:t>
      </w:r>
    </w:p>
    <w:p>
      <w:pPr>
        <w:ind w:firstLine="6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rPr>
        <w:t>游径沿线的旅游驿站、规范化标识标牌、旅游厕所等公共服务设施建设，以及文旅融合新场景项目，符合《省级财政文化和旅游发展专项资金管理办法》（川财规〔2025〕6号）申报条件的，可申请省级资金支持</w:t>
      </w:r>
      <w:r>
        <w:rPr>
          <w:rFonts w:hint="eastAsia" w:ascii="Times New Roman" w:hAnsi="Times New Roman" w:cs="Times New Roman"/>
          <w:color w:val="auto"/>
          <w:sz w:val="32"/>
          <w:szCs w:val="32"/>
          <w:highlight w:val="none"/>
          <w:lang w:eastAsia="zh-CN"/>
        </w:rPr>
        <w:t>。</w:t>
      </w: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已获得中央或省级专项转移支付补助的，不得重复申报。</w:t>
      </w:r>
    </w:p>
    <w:p>
      <w:pPr>
        <w:pStyle w:val="4"/>
        <w:ind w:firstLine="6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cs="Times New Roman"/>
          <w:color w:val="auto"/>
          <w:sz w:val="32"/>
          <w:szCs w:val="32"/>
          <w:highlight w:val="none"/>
        </w:rPr>
        <w:t>【游径推介】对于建设较好的文物主题游径，省文物局将适时予以社会宣传，推广其典型做法和先进经验，提升文物主题游径品牌效应，并在国家层面组织开展的年度优秀文物主题游径评选中进行推荐。</w:t>
      </w:r>
    </w:p>
    <w:p>
      <w:pPr>
        <w:pStyle w:val="4"/>
        <w:ind w:firstLine="6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本指南自2025年 月 日起施行，有效期2年</w:t>
      </w:r>
      <w:bookmarkStart w:id="2" w:name="_GoBack"/>
      <w:bookmarkEnd w:id="2"/>
      <w:r>
        <w:rPr>
          <w:rFonts w:hint="default" w:ascii="Times New Roman" w:hAnsi="Times New Roman" w:eastAsia="仿宋" w:cs="Times New Roman"/>
          <w:color w:val="auto"/>
          <w:sz w:val="32"/>
          <w:szCs w:val="32"/>
          <w:highlight w:val="none"/>
          <w:lang w:val="en-US" w:eastAsia="zh-CN"/>
        </w:rPr>
        <w:t>。</w:t>
      </w:r>
    </w:p>
    <w:p>
      <w:pPr>
        <w:pStyle w:val="2"/>
        <w:keepNext/>
        <w:keepLines/>
        <w:pageBreakBefore/>
        <w:widowControl w:val="0"/>
        <w:numPr>
          <w:ilvl w:val="0"/>
          <w:numId w:val="0"/>
        </w:numPr>
        <w:kinsoku/>
        <w:wordWrap/>
        <w:overflowPunct/>
        <w:topLinePunct w:val="0"/>
        <w:autoSpaceDE/>
        <w:autoSpaceDN/>
        <w:bidi w:val="0"/>
        <w:adjustRightInd/>
        <w:snapToGrid/>
        <w:spacing w:before="0" w:after="0"/>
        <w:jc w:val="both"/>
        <w:textAlignment w:val="auto"/>
        <w:rPr>
          <w:rFonts w:hint="default" w:ascii="黑体" w:hAnsi="黑体" w:eastAsia="黑体" w:cs="黑体"/>
          <w:b w:val="0"/>
          <w:bCs w:val="0"/>
          <w:color w:val="auto"/>
          <w:highlight w:val="none"/>
          <w:lang w:val="en-US" w:eastAsia="zh-CN"/>
        </w:rPr>
      </w:pPr>
      <w:bookmarkStart w:id="1" w:name="_Toc177655604"/>
      <w:r>
        <w:rPr>
          <w:rFonts w:hint="eastAsia" w:ascii="黑体" w:hAnsi="黑体" w:eastAsia="黑体" w:cs="黑体"/>
          <w:b w:val="0"/>
          <w:bCs w:val="0"/>
          <w:color w:val="auto"/>
          <w:highlight w:val="none"/>
        </w:rPr>
        <w:t>附</w:t>
      </w:r>
      <w:r>
        <w:rPr>
          <w:rFonts w:hint="eastAsia" w:ascii="黑体" w:hAnsi="黑体" w:eastAsia="黑体" w:cs="黑体"/>
          <w:b w:val="0"/>
          <w:bCs w:val="0"/>
          <w:color w:val="auto"/>
          <w:highlight w:val="none"/>
          <w:lang w:eastAsia="zh-CN"/>
        </w:rPr>
        <w:t>件</w:t>
      </w:r>
      <w:bookmarkEnd w:id="1"/>
      <w:r>
        <w:rPr>
          <w:rFonts w:hint="eastAsia" w:ascii="黑体" w:hAnsi="黑体" w:eastAsia="黑体" w:cs="黑体"/>
          <w:b w:val="0"/>
          <w:bCs w:val="0"/>
          <w:color w:val="auto"/>
          <w:highlight w:val="none"/>
          <w:lang w:val="en-US" w:eastAsia="zh-CN"/>
        </w:rPr>
        <w:t>1</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文物主题游径建设参照标准</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p>
    <w:p>
      <w:pPr>
        <w:ind w:firstLine="6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文物主题游径建设完成后，在游径主题与资源、文物保护与利用、环境风貌、配套设施、运营推广五个方面应能满足以下要求：</w:t>
      </w:r>
    </w:p>
    <w:tbl>
      <w:tblPr>
        <w:tblStyle w:val="11"/>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8" w:type="dxa"/>
            <w:gridSpan w:val="3"/>
            <w:shd w:val="clear" w:color="auto" w:fill="D8D8D8" w:themeFill="background1" w:themeFillShade="D9"/>
          </w:tcPr>
          <w:p>
            <w:pPr>
              <w:ind w:firstLine="0" w:firstLineChars="0"/>
              <w:jc w:val="center"/>
              <w:rPr>
                <w:rFonts w:hint="default" w:ascii="Times New Roman" w:hAnsi="Times New Roman" w:cs="Times New Roman"/>
                <w:b/>
                <w:bCs/>
                <w:color w:val="auto"/>
                <w:szCs w:val="30"/>
                <w:highlight w:val="none"/>
              </w:rPr>
            </w:pPr>
            <w:r>
              <w:rPr>
                <w:rFonts w:hint="default" w:ascii="Times New Roman" w:hAnsi="Times New Roman" w:cs="Times New Roman"/>
                <w:color w:val="auto"/>
                <w:highlight w:val="none"/>
              </w:rPr>
              <w:t>文物主题游径建设参照标准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shd w:val="clear" w:color="auto" w:fill="D8D8D8" w:themeFill="background1" w:themeFillShade="D9"/>
          </w:tcPr>
          <w:p>
            <w:pPr>
              <w:spacing w:line="420" w:lineRule="exact"/>
              <w:ind w:firstLine="0" w:firstLineChars="0"/>
              <w:jc w:val="center"/>
              <w:rPr>
                <w:rFonts w:hint="default" w:ascii="Times New Roman" w:hAnsi="Times New Roman" w:cs="Times New Roman"/>
                <w:b/>
                <w:bCs/>
                <w:color w:val="auto"/>
                <w:szCs w:val="30"/>
                <w:highlight w:val="none"/>
              </w:rPr>
            </w:pPr>
            <w:r>
              <w:rPr>
                <w:rFonts w:hint="default" w:ascii="Times New Roman" w:hAnsi="Times New Roman" w:cs="Times New Roman"/>
                <w:b/>
                <w:bCs/>
                <w:color w:val="auto"/>
                <w:szCs w:val="30"/>
                <w:highlight w:val="none"/>
              </w:rPr>
              <w:t>建设内容</w:t>
            </w:r>
          </w:p>
        </w:tc>
        <w:tc>
          <w:tcPr>
            <w:tcW w:w="6236" w:type="dxa"/>
            <w:shd w:val="clear" w:color="auto" w:fill="D8D8D8" w:themeFill="background1" w:themeFillShade="D9"/>
          </w:tcPr>
          <w:p>
            <w:pPr>
              <w:spacing w:line="420" w:lineRule="exact"/>
              <w:ind w:firstLine="0" w:firstLineChars="0"/>
              <w:jc w:val="center"/>
              <w:rPr>
                <w:rFonts w:hint="default" w:ascii="Times New Roman" w:hAnsi="Times New Roman" w:cs="Times New Roman"/>
                <w:b/>
                <w:bCs/>
                <w:color w:val="auto"/>
                <w:szCs w:val="30"/>
                <w:highlight w:val="none"/>
              </w:rPr>
            </w:pPr>
            <w:r>
              <w:rPr>
                <w:rFonts w:hint="default" w:ascii="Times New Roman" w:hAnsi="Times New Roman" w:cs="Times New Roman"/>
                <w:b/>
                <w:bCs/>
                <w:color w:val="auto"/>
                <w:szCs w:val="30"/>
                <w:highlight w:val="none"/>
              </w:rPr>
              <w:t>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主题与资源</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游径主题</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游径主题明确、价值突出，能够体现地方文化特色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资源体系</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形成文物和文化遗产资源清单；</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文物资源对象应与游径主题有关联性，能够支撑游径主题，数量不少于3处，原则上要保证有低级别不可移动文物；</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已经开放的文物</w:t>
            </w:r>
            <w:r>
              <w:rPr>
                <w:rFonts w:hint="eastAsia" w:ascii="Times New Roman" w:hAnsi="Times New Roman" w:cs="Times New Roman"/>
                <w:color w:val="auto"/>
                <w:szCs w:val="30"/>
                <w:highlight w:val="none"/>
                <w:lang w:eastAsia="zh-CN"/>
              </w:rPr>
              <w:t>资源比例</w:t>
            </w:r>
            <w:r>
              <w:rPr>
                <w:rFonts w:hint="default" w:ascii="Times New Roman" w:hAnsi="Times New Roman" w:cs="Times New Roman"/>
                <w:color w:val="auto"/>
                <w:szCs w:val="30"/>
                <w:highlight w:val="none"/>
              </w:rPr>
              <w:t>不</w:t>
            </w:r>
            <w:r>
              <w:rPr>
                <w:rFonts w:hint="eastAsia" w:ascii="Times New Roman" w:hAnsi="Times New Roman" w:cs="Times New Roman"/>
                <w:color w:val="auto"/>
                <w:szCs w:val="30"/>
                <w:highlight w:val="none"/>
                <w:lang w:eastAsia="zh-CN"/>
              </w:rPr>
              <w:t>低</w:t>
            </w:r>
            <w:r>
              <w:rPr>
                <w:rFonts w:hint="default" w:ascii="Times New Roman" w:hAnsi="Times New Roman" w:cs="Times New Roman"/>
                <w:color w:val="auto"/>
                <w:szCs w:val="30"/>
                <w:highlight w:val="none"/>
              </w:rPr>
              <w:t>于</w:t>
            </w:r>
            <w:r>
              <w:rPr>
                <w:rFonts w:hint="eastAsia" w:ascii="Times New Roman" w:hAnsi="Times New Roman" w:cs="Times New Roman"/>
                <w:color w:val="auto"/>
                <w:szCs w:val="30"/>
                <w:highlight w:val="none"/>
                <w:lang w:val="en-US" w:eastAsia="zh-CN"/>
              </w:rPr>
              <w:t>80%</w:t>
            </w:r>
            <w:r>
              <w:rPr>
                <w:rFonts w:hint="default" w:ascii="Times New Roman" w:hAnsi="Times New Roman" w:cs="Times New Roman"/>
                <w:color w:val="auto"/>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文物保护与利用</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价值研究</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文物价值研究深入，阐释内容真实可靠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文物保护</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根据实际情况，对文物资源依法认定、公布和提级定级。</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文物资源保存状况良好，无安全隐患。</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针对有安全隐患的不可移动文物及时开展保护修缮工作，完善必要的防护措施。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展示利用</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核心文物资源基本实现开放，</w:t>
            </w:r>
            <w:r>
              <w:rPr>
                <w:rFonts w:hint="default" w:ascii="Times New Roman" w:hAnsi="Times New Roman" w:cs="Times New Roman"/>
                <w:color w:val="auto"/>
                <w:szCs w:val="20"/>
                <w:highlight w:val="none"/>
              </w:rPr>
              <w:t>有合理的展示阐释内容</w:t>
            </w:r>
            <w:r>
              <w:rPr>
                <w:rFonts w:hint="default" w:ascii="Times New Roman" w:hAnsi="Times New Roman" w:cs="Times New Roman"/>
                <w:color w:val="auto"/>
                <w:szCs w:val="30"/>
                <w:highlight w:val="none"/>
              </w:rPr>
              <w:t>；</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开放的文物资源配有体现文物主题游径的展示说明牌和资源分布图</w:t>
            </w:r>
            <w:r>
              <w:rPr>
                <w:rFonts w:hint="eastAsia" w:ascii="Times New Roman" w:hAnsi="Times New Roman" w:cs="Times New Roman"/>
                <w:color w:val="auto"/>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环境</w:t>
            </w:r>
          </w:p>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风貌</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文物历史环境</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文物历史环境基本保存完整，</w:t>
            </w:r>
            <w:r>
              <w:rPr>
                <w:rFonts w:hint="default" w:ascii="Times New Roman" w:hAnsi="Times New Roman" w:cs="Times New Roman"/>
                <w:color w:val="auto"/>
                <w:szCs w:val="20"/>
                <w:highlight w:val="none"/>
              </w:rPr>
              <w:t>对于破损或局部发生改变的部分，按照文物保护原则，在有充分历史依据的情况下进行了修缮或局部修复。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文物周边景观环境</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文物周边景观环境与文物资源风貌协调，对于风貌不和谐、氛围有冲突的景观环境，采用微改造、精提升、渐进式的方式开展整治。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配套</w:t>
            </w:r>
          </w:p>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设施</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交通设施</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区域道路交通系统完善，具有可达性</w:t>
            </w:r>
            <w:r>
              <w:rPr>
                <w:rFonts w:hint="eastAsia" w:ascii="Times New Roman" w:hAnsi="Times New Roman" w:cs="Times New Roman"/>
                <w:color w:val="auto"/>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公共文化设施</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20"/>
                <w:highlight w:val="none"/>
              </w:rPr>
              <w:t>游径沿线有博物馆、陈列馆、艺术馆、非遗馆等可以丰富游径文化体验的公共文化设施（沿线已有的文化设施，可以选择合适的纳入游径资源；缺乏文化设施的，根据实际需求进行建设）。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配套服务设施</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旅游服务设施：</w:t>
            </w:r>
            <w:r>
              <w:rPr>
                <w:rFonts w:hint="default" w:ascii="Times New Roman" w:hAnsi="Times New Roman" w:cs="Times New Roman"/>
                <w:color w:val="auto"/>
                <w:szCs w:val="20"/>
                <w:highlight w:val="none"/>
              </w:rPr>
              <w:t>游径沿线</w:t>
            </w:r>
            <w:r>
              <w:rPr>
                <w:rFonts w:hint="default" w:ascii="Times New Roman" w:hAnsi="Times New Roman" w:cs="Times New Roman"/>
                <w:color w:val="auto"/>
                <w:szCs w:val="30"/>
                <w:highlight w:val="none"/>
              </w:rPr>
              <w:t>配置有便利的餐饮、住宿、休憩驿站等服务设施</w:t>
            </w:r>
            <w:r>
              <w:rPr>
                <w:rFonts w:hint="default" w:ascii="Times New Roman" w:hAnsi="Times New Roman" w:cs="Times New Roman"/>
                <w:color w:val="auto"/>
                <w:szCs w:val="20"/>
                <w:highlight w:val="none"/>
              </w:rPr>
              <w:t>（沿线已有服务设施的，可直接利用；缺乏配套服务设施的，可根据地方产业发展和旅游实际需求进行配套）</w:t>
            </w:r>
            <w:r>
              <w:rPr>
                <w:rFonts w:hint="eastAsia" w:ascii="Times New Roman" w:hAnsi="Times New Roman" w:cs="Times New Roman"/>
                <w:color w:val="auto"/>
                <w:szCs w:val="20"/>
                <w:highlight w:val="none"/>
                <w:lang w:eastAsia="zh-CN"/>
              </w:rPr>
              <w:t>。</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环境卫生设施：配备与主题风貌相符合的公共厕所和垃圾箱等环境卫生设施。</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停车设施：配置必要的停车场和充电桩等设施设备，满足游客停车需求。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标识标牌系统</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20"/>
                <w:highlight w:val="none"/>
              </w:rPr>
              <w:t>在展示点位和游径关键节点有相应的标志牌和说明牌。</w:t>
            </w:r>
          </w:p>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20"/>
                <w:highlight w:val="none"/>
              </w:rPr>
              <w:t>如果设计有游径logo，应将logo纳入点位标识标牌系统。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运营</w:t>
            </w:r>
          </w:p>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推广</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宣传推广</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利用电视台、互联网等平台进行宣传推广；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特色活动</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组织开展有研学、体验或者主题活动。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附加</w:t>
            </w:r>
          </w:p>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指标</w:t>
            </w: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政策支持</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地方政府给予一定的政策、资金等支持。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Merge w:val="continue"/>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p>
        </w:tc>
        <w:tc>
          <w:tcPr>
            <w:tcW w:w="1418" w:type="dxa"/>
            <w:shd w:val="clear" w:color="auto" w:fill="D8D8D8" w:themeFill="background1" w:themeFillShade="D9"/>
            <w:vAlign w:val="center"/>
          </w:tcPr>
          <w:p>
            <w:pPr>
              <w:spacing w:line="420" w:lineRule="exact"/>
              <w:ind w:firstLine="0" w:firstLineChars="0"/>
              <w:jc w:val="center"/>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品牌形象</w:t>
            </w:r>
          </w:p>
        </w:tc>
        <w:tc>
          <w:tcPr>
            <w:tcW w:w="6236" w:type="dxa"/>
            <w:vAlign w:val="center"/>
          </w:tcPr>
          <w:p>
            <w:pPr>
              <w:pStyle w:val="19"/>
              <w:numPr>
                <w:ilvl w:val="0"/>
                <w:numId w:val="4"/>
              </w:numPr>
              <w:spacing w:line="420" w:lineRule="exact"/>
              <w:ind w:firstLineChars="0"/>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形成地方文化品牌。</w:t>
            </w:r>
          </w:p>
        </w:tc>
      </w:tr>
    </w:tbl>
    <w:p>
      <w:pPr>
        <w:ind w:firstLine="0" w:firstLineChars="0"/>
        <w:rPr>
          <w:rFonts w:hint="default" w:ascii="Times New Roman" w:hAnsi="Times New Roman" w:cs="Times New Roman"/>
          <w:color w:val="auto"/>
          <w:highlight w:val="none"/>
        </w:rPr>
      </w:pPr>
    </w:p>
    <w:p>
      <w:pP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br w:type="page"/>
      </w:r>
    </w:p>
    <w:p>
      <w:pPr>
        <w:ind w:firstLine="0" w:firstLineChars="0"/>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rPr>
        <w:t>附</w:t>
      </w:r>
      <w:r>
        <w:rPr>
          <w:rFonts w:hint="eastAsia" w:ascii="黑体" w:hAnsi="黑体" w:eastAsia="黑体" w:cs="黑体"/>
          <w:b w:val="0"/>
          <w:bCs w:val="0"/>
          <w:color w:val="auto"/>
          <w:highlight w:val="none"/>
          <w:lang w:eastAsia="zh-CN"/>
        </w:rPr>
        <w:t>件</w:t>
      </w:r>
      <w:r>
        <w:rPr>
          <w:rFonts w:hint="eastAsia" w:ascii="黑体" w:hAnsi="黑体" w:eastAsia="黑体" w:cs="黑体"/>
          <w:b w:val="0"/>
          <w:bCs w:val="0"/>
          <w:color w:val="auto"/>
          <w:highlight w:val="none"/>
          <w:lang w:val="en-US" w:eastAsia="zh-CN"/>
        </w:rPr>
        <w:t>2</w:t>
      </w:r>
    </w:p>
    <w:p>
      <w:pPr>
        <w:snapToGrid w:val="0"/>
        <w:spacing w:before="100" w:beforeAutospacing="1" w:after="100" w:afterAutospacing="1" w:line="600" w:lineRule="exact"/>
        <w:jc w:val="center"/>
        <w:rPr>
          <w:rFonts w:hint="eastAsia" w:ascii="方正小标宋简体" w:hAnsi="等线 Light" w:eastAsia="方正小标宋简体" w:cs="等线 Light"/>
          <w:bCs/>
          <w:sz w:val="44"/>
          <w:szCs w:val="44"/>
        </w:rPr>
      </w:pPr>
    </w:p>
    <w:p>
      <w:pPr>
        <w:snapToGrid w:val="0"/>
        <w:spacing w:before="100" w:beforeAutospacing="1" w:after="100" w:afterAutospacing="1" w:line="600" w:lineRule="exact"/>
        <w:jc w:val="center"/>
        <w:rPr>
          <w:rFonts w:hint="eastAsia" w:ascii="方正小标宋简体" w:hAnsi="等线 Light" w:eastAsia="方正小标宋简体" w:cs="等线 Light"/>
          <w:bCs/>
          <w:sz w:val="44"/>
          <w:szCs w:val="44"/>
        </w:rPr>
      </w:pPr>
    </w:p>
    <w:p>
      <w:pPr>
        <w:snapToGrid w:val="0"/>
        <w:spacing w:before="100" w:beforeAutospacing="1" w:after="100" w:afterAutospacing="1" w:line="600" w:lineRule="exact"/>
        <w:jc w:val="center"/>
        <w:rPr>
          <w:rFonts w:hint="eastAsia" w:ascii="方正小标宋简体" w:hAnsi="等线 Light" w:eastAsia="方正小标宋简体" w:cs="等线 Light"/>
          <w:bCs/>
          <w:sz w:val="44"/>
          <w:szCs w:val="44"/>
        </w:rPr>
      </w:pPr>
      <w:r>
        <w:rPr>
          <w:rFonts w:hint="eastAsia" w:ascii="方正小标宋简体" w:hAnsi="等线 Light" w:eastAsia="方正小标宋简体" w:cs="等线 Light"/>
          <w:bCs/>
          <w:sz w:val="44"/>
          <w:szCs w:val="44"/>
        </w:rPr>
        <w:t>文</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物</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主</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题</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游</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径</w:t>
      </w:r>
      <w:r>
        <w:rPr>
          <w:rFonts w:hint="eastAsia" w:ascii="方正小标宋简体" w:hAnsi="等线 Light" w:eastAsia="方正小标宋简体" w:cs="等线 Light"/>
          <w:bCs/>
          <w:sz w:val="44"/>
          <w:szCs w:val="44"/>
          <w:lang w:val="en-US" w:eastAsia="zh-CN"/>
        </w:rPr>
        <w:t xml:space="preserve"> </w:t>
      </w:r>
      <w:r>
        <w:rPr>
          <w:rFonts w:hint="eastAsia" w:ascii="方正小标宋简体" w:hAnsi="等线 Light" w:eastAsia="方正小标宋简体" w:cs="等线 Light"/>
          <w:bCs/>
          <w:sz w:val="44"/>
          <w:szCs w:val="44"/>
        </w:rPr>
        <w:t>申 报 书</w:t>
      </w:r>
    </w:p>
    <w:p>
      <w:pPr>
        <w:snapToGrid w:val="0"/>
        <w:spacing w:before="100" w:beforeAutospacing="1" w:after="100" w:afterAutospacing="1" w:line="600" w:lineRule="exact"/>
        <w:jc w:val="center"/>
        <w:rPr>
          <w:rFonts w:hint="eastAsia" w:ascii="方正小标宋简体" w:eastAsia="方正小标宋简体"/>
          <w:bCs/>
          <w:sz w:val="44"/>
          <w:szCs w:val="44"/>
        </w:rPr>
      </w:pPr>
    </w:p>
    <w:p>
      <w:pPr>
        <w:snapToGrid w:val="0"/>
        <w:spacing w:before="100" w:beforeAutospacing="1" w:after="100" w:afterAutospacing="1" w:line="400" w:lineRule="exact"/>
        <w:ind w:firstLine="300" w:firstLineChars="100"/>
        <w:jc w:val="left"/>
        <w:rPr>
          <w:rFonts w:hint="eastAsia" w:eastAsia="仿宋"/>
        </w:rPr>
      </w:pPr>
    </w:p>
    <w:p>
      <w:pPr>
        <w:snapToGrid w:val="0"/>
        <w:spacing w:before="100" w:beforeAutospacing="1" w:after="100" w:afterAutospacing="1" w:line="400" w:lineRule="exact"/>
        <w:ind w:firstLine="300" w:firstLineChars="100"/>
        <w:rPr>
          <w:rFonts w:hint="eastAsia" w:ascii="黑体" w:hAnsi="黑体" w:eastAsia="黑体" w:cs="黑体"/>
          <w:sz w:val="30"/>
          <w:szCs w:val="30"/>
        </w:rPr>
      </w:pPr>
      <w:r>
        <w:rPr>
          <w:rFonts w:hint="eastAsia" w:ascii="黑体" w:hAnsi="黑体" w:eastAsia="黑体" w:cs="黑体"/>
          <w:sz w:val="30"/>
          <w:szCs w:val="30"/>
        </w:rPr>
        <w:t>文物主题游径名称：</w:t>
      </w:r>
      <w:r>
        <w:rPr>
          <w:rFonts w:ascii="黑体" w:hAnsi="黑体" w:eastAsia="黑体" w:cs="黑体"/>
          <w:sz w:val="30"/>
          <w:szCs w:val="30"/>
          <w:u w:val="single"/>
        </w:rPr>
        <w:t xml:space="preserve"> </w:t>
      </w:r>
      <w:r>
        <w:rPr>
          <w:rFonts w:hint="eastAsia" w:ascii="黑体" w:hAnsi="黑体" w:eastAsia="黑体" w:cs="黑体"/>
          <w:sz w:val="30"/>
          <w:szCs w:val="30"/>
          <w:u w:val="single"/>
        </w:rPr>
        <w:t xml:space="preserve">                              </w:t>
      </w:r>
    </w:p>
    <w:p>
      <w:pPr>
        <w:snapToGrid w:val="0"/>
        <w:spacing w:before="100" w:beforeAutospacing="1" w:after="100" w:afterAutospacing="1" w:line="400" w:lineRule="exact"/>
        <w:ind w:firstLine="300" w:firstLineChars="100"/>
        <w:rPr>
          <w:rFonts w:hint="eastAsia" w:ascii="黑体" w:hAnsi="黑体" w:eastAsia="黑体" w:cs="黑体"/>
          <w:sz w:val="30"/>
          <w:szCs w:val="30"/>
        </w:rPr>
      </w:pPr>
    </w:p>
    <w:p>
      <w:pPr>
        <w:snapToGrid w:val="0"/>
        <w:spacing w:before="100" w:beforeAutospacing="1" w:after="100" w:afterAutospacing="1" w:line="400" w:lineRule="exact"/>
        <w:ind w:firstLine="300" w:firstLineChars="100"/>
        <w:rPr>
          <w:rFonts w:hint="eastAsia" w:ascii="黑体" w:hAnsi="黑体" w:eastAsia="黑体" w:cs="黑体"/>
          <w:sz w:val="30"/>
          <w:szCs w:val="30"/>
        </w:rPr>
      </w:pPr>
      <w:r>
        <w:rPr>
          <w:rFonts w:hint="eastAsia" w:ascii="黑体" w:hAnsi="黑体" w:eastAsia="黑体" w:cs="黑体"/>
          <w:sz w:val="30"/>
          <w:szCs w:val="30"/>
        </w:rPr>
        <w:t>申报单位：</w:t>
      </w:r>
      <w:r>
        <w:rPr>
          <w:rFonts w:hint="eastAsia" w:ascii="黑体" w:hAnsi="黑体" w:eastAsia="黑体" w:cs="黑体"/>
          <w:sz w:val="30"/>
          <w:szCs w:val="30"/>
          <w:u w:val="single"/>
        </w:rPr>
        <w:t xml:space="preserve">                               </w:t>
      </w:r>
      <w:r>
        <w:rPr>
          <w:rFonts w:hint="eastAsia" w:ascii="黑体" w:hAnsi="黑体" w:eastAsia="黑体" w:cs="黑体"/>
          <w:sz w:val="30"/>
          <w:szCs w:val="30"/>
        </w:rPr>
        <w:t>（公章）</w:t>
      </w:r>
    </w:p>
    <w:p>
      <w:pPr>
        <w:snapToGrid w:val="0"/>
        <w:spacing w:before="100" w:beforeAutospacing="1" w:after="100" w:afterAutospacing="1" w:line="400" w:lineRule="exact"/>
        <w:ind w:firstLine="300" w:firstLineChars="100"/>
        <w:rPr>
          <w:rFonts w:hint="eastAsia" w:ascii="黑体" w:hAnsi="黑体" w:eastAsia="黑体" w:cs="黑体"/>
          <w:sz w:val="30"/>
          <w:szCs w:val="30"/>
        </w:rPr>
      </w:pPr>
    </w:p>
    <w:p>
      <w:pPr>
        <w:snapToGrid w:val="0"/>
        <w:spacing w:before="100" w:beforeAutospacing="1" w:after="100" w:afterAutospacing="1" w:line="400" w:lineRule="exact"/>
        <w:ind w:firstLine="300" w:firstLineChars="100"/>
        <w:rPr>
          <w:rFonts w:hint="eastAsia" w:ascii="黑体" w:hAnsi="黑体" w:eastAsia="黑体" w:cs="黑体"/>
          <w:sz w:val="30"/>
          <w:szCs w:val="30"/>
        </w:rPr>
      </w:pPr>
      <w:r>
        <w:rPr>
          <w:rFonts w:hint="eastAsia" w:ascii="黑体" w:hAnsi="黑体" w:eastAsia="黑体" w:cs="黑体"/>
          <w:sz w:val="30"/>
          <w:szCs w:val="30"/>
        </w:rPr>
        <w:t>申报日期：</w:t>
      </w: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snapToGrid w:val="0"/>
        <w:spacing w:before="100" w:beforeAutospacing="1" w:after="100" w:afterAutospacing="1" w:line="400" w:lineRule="exact"/>
        <w:rPr>
          <w:rFonts w:hint="eastAsia" w:eastAsia="仿宋"/>
          <w:sz w:val="30"/>
          <w:szCs w:val="30"/>
        </w:rPr>
      </w:pPr>
    </w:p>
    <w:p>
      <w:pPr>
        <w:snapToGrid w:val="0"/>
        <w:spacing w:before="100" w:beforeAutospacing="1" w:after="100" w:afterAutospacing="1" w:line="400" w:lineRule="exact"/>
        <w:rPr>
          <w:rFonts w:hint="eastAsia" w:eastAsia="仿宋"/>
          <w:sz w:val="30"/>
          <w:szCs w:val="30"/>
        </w:rPr>
      </w:pPr>
    </w:p>
    <w:p>
      <w:pPr>
        <w:snapToGrid w:val="0"/>
        <w:spacing w:before="100" w:beforeAutospacing="1" w:after="100" w:afterAutospacing="1" w:line="400" w:lineRule="exact"/>
        <w:rPr>
          <w:rFonts w:hint="eastAsia" w:eastAsia="仿宋"/>
          <w:sz w:val="30"/>
          <w:szCs w:val="30"/>
        </w:rPr>
      </w:pPr>
    </w:p>
    <w:p>
      <w:pPr>
        <w:snapToGrid w:val="0"/>
        <w:spacing w:before="100" w:beforeAutospacing="1" w:after="100" w:afterAutospacing="1" w:line="400" w:lineRule="exact"/>
        <w:rPr>
          <w:rFonts w:hint="eastAsia" w:eastAsia="仿宋"/>
          <w:sz w:val="30"/>
          <w:szCs w:val="30"/>
        </w:rPr>
      </w:pPr>
    </w:p>
    <w:p>
      <w:pPr>
        <w:snapToGrid w:val="0"/>
        <w:spacing w:before="100" w:beforeAutospacing="1" w:after="100" w:afterAutospacing="1" w:line="400" w:lineRule="exact"/>
        <w:rPr>
          <w:rFonts w:hint="eastAsia" w:eastAsia="仿宋"/>
          <w:sz w:val="30"/>
          <w:szCs w:val="30"/>
        </w:rPr>
      </w:pPr>
    </w:p>
    <w:p>
      <w:pPr>
        <w:snapToGrid w:val="0"/>
        <w:spacing w:before="100" w:beforeAutospacing="1" w:after="100" w:afterAutospacing="1" w:line="500" w:lineRule="exact"/>
        <w:jc w:val="center"/>
        <w:rPr>
          <w:rFonts w:hint="eastAsia" w:eastAsia="仿宋"/>
          <w:sz w:val="30"/>
          <w:szCs w:val="30"/>
        </w:rPr>
      </w:pPr>
      <w:r>
        <w:rPr>
          <w:rFonts w:hint="eastAsia" w:eastAsia="黑体"/>
          <w:sz w:val="30"/>
          <w:szCs w:val="30"/>
        </w:rPr>
        <w:t>四川省文物局</w:t>
      </w:r>
    </w:p>
    <w:p>
      <w:pPr>
        <w:spacing w:line="560" w:lineRule="exact"/>
        <w:rPr>
          <w:rFonts w:ascii="宋体" w:hAnsi="宋体" w:eastAsia="宋体" w:cs="宋体"/>
          <w:b/>
          <w:bCs/>
          <w:sz w:val="36"/>
          <w:szCs w:val="36"/>
        </w:rPr>
      </w:pPr>
    </w:p>
    <w:p>
      <w:pPr>
        <w:spacing w:line="560" w:lineRule="exact"/>
        <w:ind w:firstLine="640" w:firstLineChars="200"/>
        <w:jc w:val="center"/>
        <w:rPr>
          <w:rFonts w:hint="eastAsia" w:ascii="黑体" w:hAnsi="黑体" w:eastAsia="黑体" w:cs="仿宋_GB2312"/>
          <w:sz w:val="32"/>
          <w:szCs w:val="32"/>
        </w:rPr>
        <w:sectPr>
          <w:footerReference r:id="rId5" w:type="default"/>
          <w:pgSz w:w="11906" w:h="16838"/>
          <w:pgMar w:top="1417" w:right="1531" w:bottom="1417" w:left="1531" w:header="851" w:footer="992" w:gutter="0"/>
          <w:pgNumType w:fmt="decimal" w:start="1"/>
          <w:cols w:space="720" w:num="1"/>
          <w:docGrid w:type="lines" w:linePitch="444" w:charSpace="0"/>
        </w:sectPr>
      </w:pPr>
    </w:p>
    <w:p>
      <w:pPr>
        <w:spacing w:line="560" w:lineRule="exact"/>
        <w:ind w:firstLine="640" w:firstLineChars="200"/>
        <w:jc w:val="center"/>
        <w:rPr>
          <w:rFonts w:hint="eastAsia" w:ascii="黑体" w:hAnsi="黑体" w:eastAsia="黑体" w:cs="仿宋_GB2312"/>
          <w:sz w:val="32"/>
          <w:szCs w:val="32"/>
        </w:rPr>
      </w:pPr>
      <w:r>
        <w:rPr>
          <w:rFonts w:hint="eastAsia" w:ascii="黑体" w:hAnsi="黑体" w:eastAsia="黑体" w:cs="仿宋_GB2312"/>
          <w:sz w:val="32"/>
          <w:szCs w:val="32"/>
        </w:rPr>
        <w:t>申报书填写说明</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（一）申报单位为县级</w:t>
      </w:r>
      <w:r>
        <w:rPr>
          <w:rFonts w:hint="eastAsia" w:ascii="仿宋_GB2312" w:hAnsi="仿宋_GB2312" w:eastAsia="仿宋_GB2312" w:cs="仿宋_GB2312"/>
          <w:sz w:val="32"/>
          <w:szCs w:val="32"/>
          <w:shd w:val="clear" w:color="auto" w:fill="FFFFFF"/>
        </w:rPr>
        <w:t>人民政府，一项</w:t>
      </w:r>
      <w:r>
        <w:rPr>
          <w:rFonts w:hint="eastAsia" w:ascii="仿宋_GB2312" w:hAnsi="仿宋_GB2312" w:eastAsia="仿宋_GB2312" w:cs="仿宋_GB2312"/>
          <w:sz w:val="32"/>
          <w:szCs w:val="32"/>
          <w:shd w:val="clear" w:color="auto" w:fill="FFFFFF"/>
          <w:lang w:val="en-US" w:eastAsia="zh-CN"/>
        </w:rPr>
        <w:t>文物主题游径</w:t>
      </w:r>
      <w:r>
        <w:rPr>
          <w:rFonts w:hint="eastAsia" w:ascii="仿宋_GB2312" w:hAnsi="仿宋_GB2312" w:eastAsia="仿宋_GB2312" w:cs="仿宋_GB2312"/>
          <w:sz w:val="32"/>
          <w:szCs w:val="32"/>
          <w:shd w:val="clear" w:color="auto" w:fill="FFFFFF"/>
        </w:rPr>
        <w:t>填写一份申报书。由市（州）级文物主管部门整理汇总市（州）内申报案例。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（二）游径牵头单位指负责游径统筹规划、监督、指导游径建设的市县级文物部门。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rPr>
        <w:t xml:space="preserve"> </w:t>
      </w:r>
      <w:r>
        <w:rPr>
          <w:rFonts w:hint="eastAsia" w:ascii="仿宋_GB2312" w:hAnsi="仿宋_GB2312" w:eastAsia="仿宋_GB2312" w:cs="仿宋_GB2312"/>
          <w:sz w:val="32"/>
          <w:szCs w:val="32"/>
        </w:rPr>
        <w:t>填报文字为宋体，字号</w:t>
      </w:r>
      <w:r>
        <w:rPr>
          <w:rFonts w:ascii="仿宋_GB2312" w:hAnsi="仿宋_GB2312" w:eastAsia="仿宋_GB2312" w:cs="仿宋_GB2312"/>
          <w:sz w:val="32"/>
          <w:szCs w:val="32"/>
        </w:rPr>
        <w:t>3号，电子版</w:t>
      </w:r>
      <w:r>
        <w:rPr>
          <w:rFonts w:hint="eastAsia" w:ascii="仿宋_GB2312" w:hAnsi="仿宋_GB2312" w:eastAsia="仿宋_GB2312" w:cs="仿宋_GB2312"/>
          <w:sz w:val="32"/>
          <w:szCs w:val="32"/>
        </w:rPr>
        <w:t>格式为可编辑</w:t>
      </w:r>
      <w:r>
        <w:rPr>
          <w:rFonts w:ascii="仿宋_GB2312" w:hAnsi="仿宋_GB2312" w:eastAsia="仿宋_GB2312" w:cs="仿宋_GB2312"/>
          <w:sz w:val="32"/>
          <w:szCs w:val="32"/>
        </w:rPr>
        <w:t>Word版本</w:t>
      </w:r>
      <w:r>
        <w:rPr>
          <w:rFonts w:hint="eastAsia" w:ascii="仿宋_GB2312" w:hAnsi="仿宋_GB2312" w:eastAsia="仿宋_GB2312" w:cs="仿宋_GB2312"/>
          <w:sz w:val="32"/>
          <w:szCs w:val="32"/>
        </w:rPr>
        <w:t>和盖章版PDF</w:t>
      </w:r>
      <w:r>
        <w:rPr>
          <w:rFonts w:ascii="仿宋_GB2312" w:hAnsi="仿宋_GB2312" w:eastAsia="仿宋_GB2312" w:cs="仿宋_GB2312"/>
          <w:sz w:val="32"/>
          <w:szCs w:val="32"/>
        </w:rPr>
        <w:t>版本</w:t>
      </w:r>
      <w:r>
        <w:rPr>
          <w:rFonts w:hint="eastAsia" w:ascii="仿宋_GB2312" w:hAnsi="仿宋_GB2312" w:eastAsia="仿宋_GB2312" w:cs="仿宋_GB2312"/>
          <w:sz w:val="32"/>
          <w:szCs w:val="32"/>
        </w:rPr>
        <w:t>，需共同上报</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（四）纸质版申报书一式三份，统一用</w:t>
      </w:r>
      <w:r>
        <w:rPr>
          <w:rFonts w:ascii="仿宋_GB2312" w:hAnsi="仿宋_GB2312" w:eastAsia="仿宋_GB2312" w:cs="仿宋_GB2312"/>
          <w:sz w:val="32"/>
          <w:szCs w:val="32"/>
        </w:rPr>
        <w:t>A4幅面纸竖式双面印制,简装。电子版同步发送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邮件发送地址另行通知</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（五）申报书需由市级文物行政部门盖齐公章后上报。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（六）图片、视频、游径相关建设方案或规划方案等材料不要附在申报书内，请另行整理，纸质版邮寄指定地址，电子版压缩打包后发送指定电子邮箱。</w:t>
      </w:r>
    </w:p>
    <w:p>
      <w:pPr>
        <w:spacing w:line="560" w:lineRule="exact"/>
        <w:ind w:firstLine="640" w:firstLineChars="200"/>
        <w:rPr>
          <w:rFonts w:hint="eastAsia" w:ascii="仿宋_GB2312" w:hAnsi="仿宋_GB2312" w:eastAsia="仿宋_GB2312" w:cs="仿宋_GB2312"/>
          <w:sz w:val="32"/>
          <w:szCs w:val="32"/>
        </w:rPr>
        <w:sectPr>
          <w:footerReference r:id="rId6" w:type="default"/>
          <w:pgSz w:w="11906" w:h="16838"/>
          <w:pgMar w:top="1417" w:right="1531" w:bottom="1417" w:left="1531" w:header="851" w:footer="992" w:gutter="0"/>
          <w:pgNumType w:fmt="decimal"/>
          <w:cols w:space="720" w:num="1"/>
          <w:docGrid w:type="lines" w:linePitch="444" w:charSpace="0"/>
        </w:sectPr>
      </w:pPr>
      <w:r>
        <w:rPr>
          <w:rFonts w:hint="eastAsia" w:ascii="仿宋_GB2312" w:hAnsi="仿宋_GB2312" w:eastAsia="仿宋_GB2312" w:cs="仿宋_GB2312"/>
          <w:sz w:val="32"/>
          <w:szCs w:val="32"/>
        </w:rPr>
        <w:t>（七）填写内容应保证真实准确，如有不实内容取消申报资格。</w:t>
      </w:r>
    </w:p>
    <w:tbl>
      <w:tblPr>
        <w:tblStyle w:val="10"/>
        <w:tblW w:w="8678" w:type="dxa"/>
        <w:jc w:val="center"/>
        <w:tblLayout w:type="fixed"/>
        <w:tblCellMar>
          <w:top w:w="0" w:type="dxa"/>
          <w:left w:w="108" w:type="dxa"/>
          <w:bottom w:w="0" w:type="dxa"/>
          <w:right w:w="108" w:type="dxa"/>
        </w:tblCellMar>
      </w:tblPr>
      <w:tblGrid>
        <w:gridCol w:w="2873"/>
        <w:gridCol w:w="2385"/>
        <w:gridCol w:w="1423"/>
        <w:gridCol w:w="1997"/>
      </w:tblGrid>
      <w:tr>
        <w:tblPrEx>
          <w:tblCellMar>
            <w:top w:w="0" w:type="dxa"/>
            <w:left w:w="108" w:type="dxa"/>
            <w:bottom w:w="0" w:type="dxa"/>
            <w:right w:w="108" w:type="dxa"/>
          </w:tblCellMar>
        </w:tblPrEx>
        <w:trPr>
          <w:trHeight w:val="653" w:hRule="atLeast"/>
          <w:jc w:val="center"/>
        </w:trPr>
        <w:tc>
          <w:tcPr>
            <w:tcW w:w="867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ascii="楷体" w:hAnsi="楷体" w:eastAsia="楷体"/>
              </w:rPr>
            </w:pPr>
            <w:r>
              <w:rPr>
                <w:rFonts w:ascii="楷体" w:hAnsi="楷体" w:eastAsia="楷体"/>
                <w:sz w:val="32"/>
              </w:rPr>
              <w:t>一、基本情况</w:t>
            </w:r>
          </w:p>
        </w:tc>
      </w:tr>
      <w:tr>
        <w:tblPrEx>
          <w:tblCellMar>
            <w:top w:w="0" w:type="dxa"/>
            <w:left w:w="108" w:type="dxa"/>
            <w:bottom w:w="0" w:type="dxa"/>
            <w:right w:w="108" w:type="dxa"/>
          </w:tblCellMar>
        </w:tblPrEx>
        <w:trPr>
          <w:trHeight w:val="694" w:hRule="atLeast"/>
          <w:jc w:val="center"/>
        </w:trPr>
        <w:tc>
          <w:tcPr>
            <w:tcW w:w="2873" w:type="dxa"/>
            <w:tcBorders>
              <w:top w:val="single" w:color="000000" w:sz="4" w:space="0"/>
              <w:left w:val="single" w:color="000000" w:sz="4" w:space="0"/>
              <w:right w:val="single" w:color="auto" w:sz="4" w:space="0"/>
            </w:tcBorders>
            <w:noWrap w:val="0"/>
            <w:tcMar>
              <w:top w:w="0" w:type="dxa"/>
              <w:left w:w="108" w:type="dxa"/>
              <w:bottom w:w="0" w:type="dxa"/>
              <w:right w:w="108" w:type="dxa"/>
            </w:tcMar>
            <w:vAlign w:val="center"/>
          </w:tcPr>
          <w:p>
            <w:pPr>
              <w:autoSpaceDN w:val="0"/>
              <w:spacing w:line="440" w:lineRule="exact"/>
              <w:jc w:val="center"/>
              <w:rPr>
                <w:rFonts w:hint="eastAsia"/>
              </w:rPr>
            </w:pPr>
            <w:r>
              <w:rPr>
                <w:rFonts w:hint="eastAsia" w:ascii="仿宋_GB2312" w:hAnsi="仿宋_GB2312" w:eastAsia="仿宋_GB2312"/>
                <w:sz w:val="28"/>
              </w:rPr>
              <w:t>游径</w:t>
            </w:r>
            <w:r>
              <w:rPr>
                <w:rFonts w:ascii="仿宋_GB2312" w:hAnsi="仿宋_GB2312" w:eastAsia="仿宋_GB2312"/>
                <w:sz w:val="28"/>
              </w:rPr>
              <w:t>名称</w:t>
            </w:r>
          </w:p>
        </w:tc>
        <w:tc>
          <w:tcPr>
            <w:tcW w:w="5805" w:type="dxa"/>
            <w:gridSpan w:val="3"/>
            <w:tcBorders>
              <w:top w:val="single" w:color="000000" w:sz="4" w:space="0"/>
              <w:left w:val="single" w:color="auto" w:sz="4" w:space="0"/>
              <w:right w:val="single" w:color="000000" w:sz="4" w:space="0"/>
            </w:tcBorders>
            <w:noWrap w:val="0"/>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eastAsia="仿宋_GB2312"/>
              </w:rPr>
            </w:pPr>
            <w:r>
              <w:rPr>
                <w:rFonts w:hint="eastAsia" w:ascii="仿宋_GB2312" w:hAnsi="仿宋_GB2312" w:eastAsia="仿宋_GB2312"/>
                <w:sz w:val="28"/>
              </w:rPr>
              <w:t>游径所在地</w:t>
            </w:r>
          </w:p>
        </w:tc>
        <w:tc>
          <w:tcPr>
            <w:tcW w:w="5805" w:type="dxa"/>
            <w:gridSpan w:val="3"/>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ascii="仿宋_GB2312" w:hAnsi="仿宋_GB2312" w:eastAsia="仿宋_GB2312"/>
                <w:sz w:val="28"/>
              </w:rPr>
            </w:pPr>
            <w:r>
              <w:rPr>
                <w:rFonts w:hint="eastAsia" w:ascii="仿宋_GB2312" w:hAnsi="仿宋_GB2312" w:eastAsia="仿宋_GB2312"/>
                <w:sz w:val="28"/>
              </w:rPr>
              <w:t>游径牵头单位</w:t>
            </w:r>
          </w:p>
        </w:tc>
        <w:tc>
          <w:tcPr>
            <w:tcW w:w="5805" w:type="dxa"/>
            <w:gridSpan w:val="3"/>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ascii="仿宋_GB2312" w:hAnsi="仿宋_GB2312" w:eastAsia="仿宋_GB2312"/>
                <w:sz w:val="28"/>
              </w:rPr>
            </w:pPr>
            <w:r>
              <w:rPr>
                <w:rFonts w:hint="eastAsia" w:ascii="仿宋_GB2312" w:hAnsi="仿宋_GB2312" w:eastAsia="仿宋_GB2312"/>
                <w:sz w:val="28"/>
              </w:rPr>
              <w:t>申报工作主要联系人</w:t>
            </w:r>
          </w:p>
        </w:tc>
        <w:tc>
          <w:tcPr>
            <w:tcW w:w="238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c>
          <w:tcPr>
            <w:tcW w:w="14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eastAsia="宋体"/>
              </w:rPr>
            </w:pPr>
            <w:r>
              <w:rPr>
                <w:rFonts w:hint="eastAsia" w:ascii="仿宋_GB2312" w:hAnsi="仿宋_GB2312" w:eastAsia="仿宋_GB2312"/>
                <w:sz w:val="28"/>
              </w:rPr>
              <w:t>电话</w:t>
            </w:r>
          </w:p>
        </w:tc>
        <w:tc>
          <w:tcPr>
            <w:tcW w:w="1997"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ascii="仿宋_GB2312" w:hAnsi="仿宋_GB2312" w:eastAsia="仿宋_GB2312"/>
                <w:sz w:val="28"/>
              </w:rPr>
            </w:pPr>
            <w:r>
              <w:rPr>
                <w:rFonts w:hint="eastAsia" w:ascii="仿宋_GB2312" w:hAnsi="仿宋_GB2312" w:eastAsia="仿宋_GB2312"/>
                <w:sz w:val="28"/>
              </w:rPr>
              <w:t>联系人单位及职务</w:t>
            </w:r>
          </w:p>
        </w:tc>
        <w:tc>
          <w:tcPr>
            <w:tcW w:w="5805" w:type="dxa"/>
            <w:gridSpan w:val="3"/>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ascii="仿宋_GB2312" w:hAnsi="仿宋_GB2312" w:eastAsia="仿宋_GB2312"/>
                <w:sz w:val="28"/>
              </w:rPr>
            </w:pPr>
            <w:r>
              <w:rPr>
                <w:rFonts w:hint="eastAsia" w:ascii="仿宋_GB2312" w:hAnsi="仿宋_GB2312" w:eastAsia="仿宋_GB2312"/>
                <w:sz w:val="28"/>
              </w:rPr>
              <w:t>游径统一管理机构</w:t>
            </w:r>
          </w:p>
        </w:tc>
        <w:tc>
          <w:tcPr>
            <w:tcW w:w="5805" w:type="dxa"/>
            <w:gridSpan w:val="3"/>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40" w:lineRule="exact"/>
              <w:jc w:val="left"/>
              <w:rPr>
                <w:rFonts w:hint="eastAsia" w:ascii="仿宋_GB2312" w:hAnsi="仿宋_GB2312" w:eastAsia="仿宋_GB2312"/>
                <w:sz w:val="28"/>
              </w:rPr>
            </w:pPr>
            <w:r>
              <w:rPr>
                <w:rFonts w:hint="eastAsia" w:ascii="仿宋_GB2312" w:hAnsi="仿宋_GB2312" w:eastAsia="仿宋_GB2312"/>
                <w:sz w:val="28"/>
              </w:rPr>
              <w:t>（没有可填“无”）</w:t>
            </w:r>
          </w:p>
        </w:tc>
      </w:tr>
      <w:tr>
        <w:tblPrEx>
          <w:tblCellMar>
            <w:top w:w="0" w:type="dxa"/>
            <w:left w:w="108" w:type="dxa"/>
            <w:bottom w:w="0" w:type="dxa"/>
            <w:right w:w="108" w:type="dxa"/>
          </w:tblCellMar>
        </w:tblPrEx>
        <w:trPr>
          <w:trHeight w:val="653" w:hRule="atLeast"/>
          <w:jc w:val="center"/>
        </w:trPr>
        <w:tc>
          <w:tcPr>
            <w:tcW w:w="287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utoSpaceDN w:val="0"/>
              <w:spacing w:line="440" w:lineRule="exact"/>
              <w:jc w:val="center"/>
              <w:rPr>
                <w:rFonts w:hint="eastAsia" w:ascii="仿宋_GB2312" w:hAnsi="仿宋_GB2312" w:eastAsia="仿宋_GB2312"/>
                <w:sz w:val="28"/>
              </w:rPr>
            </w:pPr>
            <w:r>
              <w:rPr>
                <w:rFonts w:hint="eastAsia" w:ascii="仿宋_GB2312" w:hAnsi="仿宋_GB2312" w:eastAsia="仿宋_GB2312"/>
                <w:sz w:val="28"/>
              </w:rPr>
              <w:t>文物点涉及的县(市、区)</w:t>
            </w:r>
          </w:p>
        </w:tc>
        <w:tc>
          <w:tcPr>
            <w:tcW w:w="5805" w:type="dxa"/>
            <w:gridSpan w:val="3"/>
            <w:tcBorders>
              <w:top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utoSpaceDN w:val="0"/>
              <w:spacing w:line="440" w:lineRule="exact"/>
              <w:rPr>
                <w:rFonts w:hint="eastAsia"/>
              </w:rPr>
            </w:pPr>
          </w:p>
        </w:tc>
      </w:tr>
      <w:tr>
        <w:tblPrEx>
          <w:tblCellMar>
            <w:top w:w="0" w:type="dxa"/>
            <w:left w:w="108" w:type="dxa"/>
            <w:bottom w:w="0" w:type="dxa"/>
            <w:right w:w="108" w:type="dxa"/>
          </w:tblCellMar>
        </w:tblPrEx>
        <w:trPr>
          <w:trHeight w:val="823" w:hRule="atLeast"/>
          <w:jc w:val="center"/>
        </w:trPr>
        <w:tc>
          <w:tcPr>
            <w:tcW w:w="28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spacing w:line="440" w:lineRule="exact"/>
              <w:jc w:val="center"/>
              <w:rPr>
                <w:rFonts w:eastAsia="仿宋_GB2312"/>
                <w:highlight w:val="lightGray"/>
              </w:rPr>
            </w:pPr>
            <w:r>
              <w:rPr>
                <w:rFonts w:hint="eastAsia" w:ascii="仿宋_GB2312" w:hAnsi="仿宋_GB2312" w:eastAsia="仿宋_GB2312"/>
                <w:sz w:val="28"/>
              </w:rPr>
              <w:t>游径亮点</w:t>
            </w:r>
          </w:p>
          <w:p>
            <w:pPr>
              <w:autoSpaceDN w:val="0"/>
              <w:spacing w:line="440" w:lineRule="exact"/>
              <w:jc w:val="left"/>
              <w:rPr>
                <w:rFonts w:hint="eastAsia" w:ascii="仿宋_GB2312" w:hAnsi="仿宋_GB2312" w:eastAsia="仿宋_GB2312"/>
                <w:sz w:val="28"/>
              </w:rPr>
            </w:pPr>
            <w:r>
              <w:rPr>
                <w:rFonts w:hint="eastAsia" w:ascii="仿宋_GB2312" w:hAnsi="仿宋_GB2312" w:eastAsia="仿宋_GB2312"/>
                <w:sz w:val="28"/>
              </w:rPr>
              <w:t xml:space="preserve">  【300字以内】</w:t>
            </w:r>
          </w:p>
        </w:tc>
        <w:tc>
          <w:tcPr>
            <w:tcW w:w="5805"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440" w:lineRule="exact"/>
              <w:rPr>
                <w:rFonts w:hint="eastAsia" w:ascii="仿宋_GB2312" w:hAnsi="仿宋_GB2312" w:eastAsia="仿宋_GB2312"/>
                <w:sz w:val="28"/>
              </w:rPr>
            </w:pPr>
          </w:p>
          <w:p>
            <w:pPr>
              <w:autoSpaceDN w:val="0"/>
              <w:spacing w:line="440" w:lineRule="exact"/>
              <w:rPr>
                <w:rFonts w:hint="eastAsia" w:ascii="仿宋_GB2312" w:hAnsi="仿宋_GB2312" w:eastAsia="仿宋_GB2312"/>
                <w:sz w:val="28"/>
              </w:rPr>
            </w:pPr>
          </w:p>
          <w:p>
            <w:pPr>
              <w:autoSpaceDN w:val="0"/>
              <w:spacing w:line="440" w:lineRule="exact"/>
              <w:rPr>
                <w:rFonts w:hint="eastAsia"/>
                <w:highlight w:val="lightGray"/>
              </w:rPr>
            </w:pPr>
          </w:p>
        </w:tc>
      </w:tr>
      <w:tr>
        <w:tblPrEx>
          <w:tblCellMar>
            <w:top w:w="0" w:type="dxa"/>
            <w:left w:w="108" w:type="dxa"/>
            <w:bottom w:w="0" w:type="dxa"/>
            <w:right w:w="108" w:type="dxa"/>
          </w:tblCellMar>
        </w:tblPrEx>
        <w:trPr>
          <w:trHeight w:val="1887" w:hRule="atLeast"/>
          <w:jc w:val="center"/>
        </w:trPr>
        <w:tc>
          <w:tcPr>
            <w:tcW w:w="8678" w:type="dxa"/>
            <w:gridSpan w:val="4"/>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numPr>
                <w:ilvl w:val="0"/>
                <w:numId w:val="5"/>
              </w:numPr>
              <w:autoSpaceDN w:val="0"/>
              <w:spacing w:line="440" w:lineRule="exact"/>
              <w:jc w:val="left"/>
              <w:rPr>
                <w:rFonts w:hint="eastAsia" w:ascii="楷体" w:hAnsi="楷体" w:eastAsia="楷体"/>
                <w:sz w:val="32"/>
                <w:szCs w:val="32"/>
              </w:rPr>
            </w:pPr>
            <w:r>
              <w:rPr>
                <w:rFonts w:hint="eastAsia" w:ascii="楷体" w:hAnsi="楷体" w:eastAsia="楷体"/>
                <w:sz w:val="32"/>
                <w:lang w:val="en-US" w:eastAsia="zh-CN"/>
              </w:rPr>
              <w:t>对象</w:t>
            </w:r>
            <w:r>
              <w:rPr>
                <w:rFonts w:hint="eastAsia" w:ascii="楷体" w:hAnsi="楷体" w:eastAsia="楷体"/>
                <w:sz w:val="32"/>
              </w:rPr>
              <w:t>清单</w:t>
            </w:r>
            <w:r>
              <w:rPr>
                <w:rFonts w:hint="eastAsia" w:ascii="楷体" w:hAnsi="楷体" w:eastAsia="楷体"/>
                <w:sz w:val="32"/>
                <w:szCs w:val="32"/>
              </w:rPr>
              <w:t>【简要概述游径包含的文物及文化遗产，</w:t>
            </w:r>
            <w:r>
              <w:rPr>
                <w:rFonts w:hint="eastAsia" w:ascii="楷体" w:hAnsi="楷体" w:eastAsia="楷体"/>
                <w:sz w:val="32"/>
                <w:szCs w:val="32"/>
                <w:lang w:val="en-US" w:eastAsia="zh-CN"/>
              </w:rPr>
              <w:t>并</w:t>
            </w:r>
            <w:r>
              <w:rPr>
                <w:rFonts w:hint="eastAsia" w:ascii="楷体" w:hAnsi="楷体" w:eastAsia="楷体"/>
                <w:sz w:val="32"/>
                <w:szCs w:val="32"/>
              </w:rPr>
              <w:t>标明不可移动文物级别】</w:t>
            </w:r>
          </w:p>
          <w:p>
            <w:pPr>
              <w:widowControl w:val="0"/>
              <w:numPr>
                <w:numId w:val="0"/>
              </w:numPr>
              <w:autoSpaceDN w:val="0"/>
              <w:spacing w:line="440" w:lineRule="exact"/>
              <w:jc w:val="left"/>
              <w:rPr>
                <w:rFonts w:hint="eastAsia" w:ascii="楷体" w:hAnsi="楷体" w:eastAsia="楷体"/>
                <w:sz w:val="32"/>
                <w:szCs w:val="32"/>
              </w:rPr>
            </w:pPr>
          </w:p>
          <w:p>
            <w:pPr>
              <w:widowControl w:val="0"/>
              <w:numPr>
                <w:numId w:val="0"/>
              </w:numPr>
              <w:autoSpaceDN w:val="0"/>
              <w:spacing w:line="440" w:lineRule="exact"/>
              <w:jc w:val="left"/>
              <w:rPr>
                <w:rFonts w:hint="eastAsia" w:ascii="楷体" w:hAnsi="楷体" w:eastAsia="楷体"/>
                <w:sz w:val="32"/>
                <w:szCs w:val="32"/>
              </w:rPr>
            </w:pPr>
          </w:p>
          <w:p>
            <w:pPr>
              <w:widowControl w:val="0"/>
              <w:numPr>
                <w:numId w:val="0"/>
              </w:numPr>
              <w:autoSpaceDN w:val="0"/>
              <w:spacing w:line="440" w:lineRule="exact"/>
              <w:jc w:val="left"/>
              <w:rPr>
                <w:rFonts w:hint="eastAsia" w:ascii="楷体" w:hAnsi="楷体" w:eastAsia="楷体"/>
                <w:sz w:val="32"/>
                <w:szCs w:val="32"/>
              </w:rPr>
            </w:pPr>
          </w:p>
          <w:p>
            <w:pPr>
              <w:widowControl w:val="0"/>
              <w:numPr>
                <w:numId w:val="0"/>
              </w:numPr>
              <w:autoSpaceDN w:val="0"/>
              <w:spacing w:line="440" w:lineRule="exact"/>
              <w:jc w:val="left"/>
              <w:rPr>
                <w:rFonts w:hint="eastAsia" w:ascii="楷体" w:hAnsi="楷体" w:eastAsia="楷体"/>
                <w:sz w:val="32"/>
                <w:szCs w:val="32"/>
              </w:rPr>
            </w:pPr>
          </w:p>
        </w:tc>
      </w:tr>
      <w:tr>
        <w:tblPrEx>
          <w:tblCellMar>
            <w:top w:w="0" w:type="dxa"/>
            <w:left w:w="108" w:type="dxa"/>
            <w:bottom w:w="0" w:type="dxa"/>
            <w:right w:w="108" w:type="dxa"/>
          </w:tblCellMar>
        </w:tblPrEx>
        <w:trPr>
          <w:trHeight w:val="2063"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N w:val="0"/>
              <w:rPr>
                <w:rFonts w:hint="eastAsia" w:eastAsia="楷体"/>
              </w:rPr>
            </w:pPr>
            <w:r>
              <w:rPr>
                <w:rFonts w:hint="eastAsia" w:ascii="楷体" w:hAnsi="楷体" w:eastAsia="楷体"/>
                <w:sz w:val="32"/>
              </w:rPr>
              <w:t>二、游径主题及规划设计方案</w:t>
            </w:r>
            <w:r>
              <w:rPr>
                <w:rFonts w:hint="eastAsia" w:ascii="楷体" w:hAnsi="楷体" w:eastAsia="楷体"/>
                <w:sz w:val="32"/>
                <w:szCs w:val="32"/>
              </w:rPr>
              <w:t>【800字以内】</w:t>
            </w:r>
          </w:p>
          <w:p>
            <w:pPr>
              <w:autoSpaceDN w:val="0"/>
              <w:spacing w:line="440" w:lineRule="exact"/>
              <w:rPr>
                <w:rFonts w:hint="eastAsia"/>
              </w:rPr>
            </w:pPr>
          </w:p>
          <w:p>
            <w:pPr>
              <w:autoSpaceDN w:val="0"/>
              <w:spacing w:line="440" w:lineRule="exact"/>
              <w:ind w:left="0" w:leftChars="0" w:firstLine="0" w:firstLineChars="0"/>
              <w:rPr>
                <w:rFonts w:hint="eastAsia"/>
              </w:rPr>
            </w:pPr>
          </w:p>
          <w:p>
            <w:pPr>
              <w:autoSpaceDN w:val="0"/>
              <w:spacing w:line="440" w:lineRule="exact"/>
              <w:ind w:left="0" w:leftChars="0" w:firstLine="0" w:firstLineChars="0"/>
              <w:rPr>
                <w:rFonts w:hint="eastAsia"/>
              </w:rPr>
            </w:pPr>
          </w:p>
          <w:p>
            <w:pPr>
              <w:autoSpaceDN w:val="0"/>
              <w:spacing w:line="440" w:lineRule="exact"/>
              <w:rPr>
                <w:rFonts w:hint="eastAsia"/>
              </w:rPr>
            </w:pPr>
          </w:p>
        </w:tc>
      </w:tr>
      <w:tr>
        <w:tblPrEx>
          <w:tblCellMar>
            <w:top w:w="0" w:type="dxa"/>
            <w:left w:w="108" w:type="dxa"/>
            <w:bottom w:w="0" w:type="dxa"/>
            <w:right w:w="108" w:type="dxa"/>
          </w:tblCellMar>
        </w:tblPrEx>
        <w:trPr>
          <w:trHeight w:val="1897"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N w:val="0"/>
              <w:spacing w:line="440" w:lineRule="exact"/>
              <w:textAlignment w:val="top"/>
              <w:rPr>
                <w:rFonts w:hint="eastAsia" w:ascii="楷体" w:hAnsi="楷体" w:eastAsia="楷体"/>
                <w:sz w:val="32"/>
              </w:rPr>
            </w:pPr>
            <w:r>
              <w:rPr>
                <w:rFonts w:ascii="楷体" w:hAnsi="楷体" w:eastAsia="楷体"/>
                <w:sz w:val="32"/>
              </w:rPr>
              <w:t>三、</w:t>
            </w:r>
            <w:r>
              <w:rPr>
                <w:rFonts w:hint="eastAsia" w:ascii="楷体" w:hAnsi="楷体" w:eastAsia="楷体"/>
                <w:sz w:val="32"/>
              </w:rPr>
              <w:t>游径价值阐</w:t>
            </w:r>
            <w:r>
              <w:rPr>
                <w:rFonts w:hint="eastAsia" w:ascii="楷体" w:hAnsi="楷体" w:eastAsia="楷体"/>
                <w:sz w:val="32"/>
                <w:szCs w:val="32"/>
              </w:rPr>
              <w:t>释【800字以内】</w:t>
            </w:r>
          </w:p>
          <w:p>
            <w:pPr>
              <w:autoSpaceDN w:val="0"/>
              <w:spacing w:line="440" w:lineRule="exact"/>
              <w:rPr>
                <w:rFonts w:hint="eastAsia"/>
              </w:rPr>
            </w:pPr>
          </w:p>
          <w:p>
            <w:pPr>
              <w:autoSpaceDN w:val="0"/>
              <w:spacing w:line="440" w:lineRule="exact"/>
              <w:rPr>
                <w:rFonts w:hint="eastAsia"/>
              </w:rPr>
            </w:pPr>
          </w:p>
          <w:p>
            <w:pPr>
              <w:autoSpaceDN w:val="0"/>
              <w:spacing w:line="440" w:lineRule="exact"/>
              <w:rPr>
                <w:rFonts w:hint="eastAsia"/>
              </w:rPr>
            </w:pPr>
          </w:p>
          <w:p>
            <w:pPr>
              <w:autoSpaceDN w:val="0"/>
              <w:spacing w:line="440" w:lineRule="exact"/>
              <w:rPr>
                <w:rFonts w:hint="eastAsia"/>
              </w:rPr>
            </w:pPr>
          </w:p>
        </w:tc>
      </w:tr>
      <w:tr>
        <w:tblPrEx>
          <w:tblCellMar>
            <w:top w:w="0" w:type="dxa"/>
            <w:left w:w="108" w:type="dxa"/>
            <w:bottom w:w="0" w:type="dxa"/>
            <w:right w:w="108" w:type="dxa"/>
          </w:tblCellMar>
        </w:tblPrEx>
        <w:trPr>
          <w:trHeight w:val="2570"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numPr>
                <w:ilvl w:val="0"/>
                <w:numId w:val="6"/>
              </w:numPr>
              <w:autoSpaceDN w:val="0"/>
              <w:spacing w:line="440" w:lineRule="exact"/>
              <w:rPr>
                <w:rFonts w:hint="eastAsia" w:ascii="楷体" w:hAnsi="楷体" w:eastAsia="楷体"/>
                <w:sz w:val="32"/>
                <w:szCs w:val="32"/>
              </w:rPr>
            </w:pPr>
            <w:r>
              <w:rPr>
                <w:rFonts w:hint="eastAsia" w:ascii="楷体" w:hAnsi="楷体" w:eastAsia="楷体"/>
                <w:sz w:val="32"/>
              </w:rPr>
              <w:t>游</w:t>
            </w:r>
            <w:r>
              <w:rPr>
                <w:rFonts w:hint="eastAsia" w:ascii="楷体" w:hAnsi="楷体" w:eastAsia="楷体"/>
                <w:sz w:val="32"/>
                <w:szCs w:val="32"/>
              </w:rPr>
              <w:t>径</w:t>
            </w:r>
            <w:r>
              <w:rPr>
                <w:rFonts w:ascii="楷体" w:hAnsi="楷体" w:eastAsia="楷体"/>
                <w:sz w:val="32"/>
                <w:szCs w:val="32"/>
              </w:rPr>
              <w:t>保护</w:t>
            </w:r>
            <w:r>
              <w:rPr>
                <w:rFonts w:hint="eastAsia" w:ascii="楷体" w:hAnsi="楷体" w:eastAsia="楷体"/>
                <w:sz w:val="32"/>
                <w:szCs w:val="32"/>
              </w:rPr>
              <w:t>和开放展示利用</w:t>
            </w:r>
            <w:r>
              <w:rPr>
                <w:rFonts w:ascii="楷体" w:hAnsi="楷体" w:eastAsia="楷体"/>
                <w:sz w:val="32"/>
                <w:szCs w:val="32"/>
              </w:rPr>
              <w:t>状况</w:t>
            </w:r>
            <w:r>
              <w:rPr>
                <w:rFonts w:hint="eastAsia" w:ascii="楷体" w:hAnsi="楷体" w:eastAsia="楷体"/>
                <w:sz w:val="32"/>
                <w:szCs w:val="32"/>
              </w:rPr>
              <w:t xml:space="preserve">【根据游径涉及文物资源情况简要概述，800字以内】 </w:t>
            </w:r>
          </w:p>
          <w:p>
            <w:pPr>
              <w:widowControl w:val="0"/>
              <w:numPr>
                <w:numId w:val="0"/>
              </w:numPr>
              <w:autoSpaceDN w:val="0"/>
              <w:spacing w:line="440" w:lineRule="exact"/>
              <w:jc w:val="both"/>
              <w:rPr>
                <w:rFonts w:hint="eastAsia" w:ascii="楷体" w:hAnsi="楷体" w:eastAsia="楷体"/>
                <w:sz w:val="32"/>
                <w:szCs w:val="32"/>
              </w:rPr>
            </w:pPr>
          </w:p>
          <w:p>
            <w:pPr>
              <w:widowControl w:val="0"/>
              <w:numPr>
                <w:numId w:val="0"/>
              </w:numPr>
              <w:autoSpaceDN w:val="0"/>
              <w:spacing w:line="440" w:lineRule="exact"/>
              <w:jc w:val="both"/>
              <w:rPr>
                <w:rFonts w:hint="eastAsia" w:ascii="楷体" w:hAnsi="楷体" w:eastAsia="楷体"/>
                <w:sz w:val="32"/>
                <w:szCs w:val="32"/>
              </w:rPr>
            </w:pPr>
          </w:p>
          <w:p>
            <w:pPr>
              <w:widowControl w:val="0"/>
              <w:numPr>
                <w:numId w:val="0"/>
              </w:numPr>
              <w:autoSpaceDN w:val="0"/>
              <w:spacing w:line="440" w:lineRule="exact"/>
              <w:jc w:val="both"/>
              <w:rPr>
                <w:rFonts w:hint="eastAsia" w:ascii="楷体" w:hAnsi="楷体" w:eastAsia="楷体"/>
                <w:sz w:val="32"/>
                <w:szCs w:val="32"/>
              </w:rPr>
            </w:pPr>
          </w:p>
        </w:tc>
      </w:tr>
      <w:tr>
        <w:tblPrEx>
          <w:tblCellMar>
            <w:top w:w="0" w:type="dxa"/>
            <w:left w:w="108" w:type="dxa"/>
            <w:bottom w:w="0" w:type="dxa"/>
            <w:right w:w="108" w:type="dxa"/>
          </w:tblCellMar>
        </w:tblPrEx>
        <w:trPr>
          <w:trHeight w:val="2152"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N w:val="0"/>
              <w:spacing w:line="440" w:lineRule="exact"/>
              <w:rPr>
                <w:rFonts w:hint="eastAsia"/>
              </w:rPr>
            </w:pPr>
            <w:r>
              <w:rPr>
                <w:rFonts w:hint="eastAsia" w:ascii="楷体" w:hAnsi="楷体" w:eastAsia="楷体"/>
                <w:sz w:val="32"/>
              </w:rPr>
              <w:t>五、游径基础设施建设和周边环境风貌情况</w:t>
            </w:r>
            <w:r>
              <w:rPr>
                <w:rFonts w:hint="eastAsia" w:ascii="楷体" w:hAnsi="楷体" w:eastAsia="楷体"/>
                <w:sz w:val="32"/>
                <w:szCs w:val="32"/>
              </w:rPr>
              <w:t>【800字以内】</w:t>
            </w:r>
          </w:p>
        </w:tc>
      </w:tr>
      <w:tr>
        <w:tblPrEx>
          <w:tblCellMar>
            <w:top w:w="0" w:type="dxa"/>
            <w:left w:w="108" w:type="dxa"/>
            <w:bottom w:w="0" w:type="dxa"/>
            <w:right w:w="108" w:type="dxa"/>
          </w:tblCellMar>
        </w:tblPrEx>
        <w:trPr>
          <w:trHeight w:val="2373"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N w:val="0"/>
              <w:spacing w:line="440" w:lineRule="exact"/>
              <w:rPr>
                <w:rFonts w:ascii="楷体" w:hAnsi="楷体" w:eastAsia="楷体"/>
                <w:sz w:val="32"/>
                <w:szCs w:val="32"/>
              </w:rPr>
            </w:pPr>
            <w:r>
              <w:rPr>
                <w:rFonts w:hint="eastAsia" w:ascii="楷体" w:hAnsi="楷体" w:eastAsia="楷体"/>
                <w:sz w:val="32"/>
              </w:rPr>
              <w:t>六、游径运营管理和宣传推广工作</w:t>
            </w:r>
            <w:r>
              <w:rPr>
                <w:rFonts w:hint="eastAsia" w:ascii="楷体" w:hAnsi="楷体" w:eastAsia="楷体"/>
                <w:sz w:val="32"/>
                <w:szCs w:val="32"/>
              </w:rPr>
              <w:t>【500字以内】</w:t>
            </w:r>
          </w:p>
          <w:p>
            <w:pPr>
              <w:autoSpaceDN w:val="0"/>
              <w:spacing w:line="440" w:lineRule="exact"/>
              <w:rPr>
                <w:rFonts w:hint="eastAsia" w:ascii="楷体" w:hAnsi="楷体" w:eastAsia="楷体"/>
                <w:sz w:val="32"/>
              </w:rPr>
            </w:pPr>
          </w:p>
        </w:tc>
      </w:tr>
      <w:tr>
        <w:tblPrEx>
          <w:tblCellMar>
            <w:top w:w="0" w:type="dxa"/>
            <w:left w:w="108" w:type="dxa"/>
            <w:bottom w:w="0" w:type="dxa"/>
            <w:right w:w="108" w:type="dxa"/>
          </w:tblCellMar>
        </w:tblPrEx>
        <w:trPr>
          <w:trHeight w:val="2430" w:hRule="atLeast"/>
          <w:jc w:val="center"/>
        </w:trPr>
        <w:tc>
          <w:tcPr>
            <w:tcW w:w="8678" w:type="dxa"/>
            <w:gridSpan w:val="4"/>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N w:val="0"/>
              <w:spacing w:line="440" w:lineRule="exact"/>
              <w:rPr>
                <w:rFonts w:hint="eastAsia" w:ascii="楷体" w:hAnsi="楷体" w:eastAsia="楷体"/>
                <w:sz w:val="32"/>
              </w:rPr>
            </w:pPr>
            <w:r>
              <w:rPr>
                <w:rFonts w:hint="eastAsia" w:ascii="楷体" w:hAnsi="楷体" w:eastAsia="楷体"/>
                <w:sz w:val="32"/>
              </w:rPr>
              <w:t>七、地方政府及相关部门支持保障情况</w:t>
            </w:r>
          </w:p>
          <w:p>
            <w:pPr>
              <w:autoSpaceDN w:val="0"/>
              <w:spacing w:line="440" w:lineRule="exact"/>
              <w:rPr>
                <w:rFonts w:hint="eastAsia" w:ascii="楷体" w:hAnsi="楷体" w:eastAsia="楷体"/>
                <w:sz w:val="32"/>
              </w:rPr>
            </w:pPr>
          </w:p>
          <w:p>
            <w:pPr>
              <w:autoSpaceDN w:val="0"/>
              <w:spacing w:line="440" w:lineRule="exact"/>
              <w:rPr>
                <w:rFonts w:hint="eastAsia" w:ascii="楷体" w:hAnsi="楷体" w:eastAsia="楷体"/>
                <w:sz w:val="32"/>
              </w:rPr>
            </w:pPr>
          </w:p>
          <w:p>
            <w:pPr>
              <w:autoSpaceDN w:val="0"/>
              <w:spacing w:line="440" w:lineRule="exact"/>
              <w:rPr>
                <w:rFonts w:hint="eastAsia" w:ascii="楷体" w:hAnsi="楷体" w:eastAsia="楷体"/>
                <w:sz w:val="32"/>
              </w:rPr>
            </w:pPr>
          </w:p>
          <w:p>
            <w:pPr>
              <w:autoSpaceDN w:val="0"/>
              <w:spacing w:line="440" w:lineRule="exact"/>
              <w:rPr>
                <w:rFonts w:hint="eastAsia" w:ascii="楷体" w:hAnsi="楷体" w:eastAsia="楷体"/>
                <w:sz w:val="32"/>
              </w:rPr>
            </w:pPr>
          </w:p>
          <w:p>
            <w:pPr>
              <w:autoSpaceDN w:val="0"/>
              <w:spacing w:line="440" w:lineRule="exact"/>
              <w:ind w:left="0" w:leftChars="0" w:firstLine="0" w:firstLineChars="0"/>
              <w:rPr>
                <w:rFonts w:hint="eastAsia" w:ascii="楷体" w:hAnsi="楷体" w:eastAsia="楷体"/>
                <w:sz w:val="32"/>
              </w:rPr>
            </w:pPr>
          </w:p>
        </w:tc>
      </w:tr>
    </w:tbl>
    <w:p>
      <w:pPr>
        <w:ind w:firstLine="0" w:firstLineChars="0"/>
        <w:rPr>
          <w:rFonts w:hint="default" w:ascii="黑体" w:hAnsi="黑体" w:eastAsia="黑体" w:cs="黑体"/>
          <w:b w:val="0"/>
          <w:bCs w:val="0"/>
          <w:color w:val="auto"/>
          <w:highlight w:val="none"/>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AEb5Cg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373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KAAAAAACHTuJAAAAAAAAAAAAAAAAABAAAAAAA&#10;AAAAABAAAAAWAAAAZHJzL1BLAQIUABQAAAAIAIdO4kDhFhu7MwIAAGAEAAAOAAAAAAAAAAEAIAAA&#10;ADkBAABkcnMvZTJvRG9jLnhtbFBLAQIUABQAAAAIAIdO4kAhCOUZ1AAAAAQBAAAPAAAAAAAAAAEA&#10;IAAAADgAAABkcnMvZG93bnJldi54bWxQSwUGAAAAAAYABgBZAQAA3gUAAAAA&#10;">
              <v:fill on="f" focussize="0,0"/>
              <v:stroke on="f" weight="0.5pt"/>
              <v:imagedata o:title=""/>
              <o:lock v:ext="edit" aspectratio="f"/>
              <v:textbox inset="0mm,0mm,0mm,0mm">
                <w:txbxContent>
                  <w:p>
                    <w:p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F1DCD"/>
    <w:multiLevelType w:val="multilevel"/>
    <w:tmpl w:val="1A8F1DCD"/>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
      <w:lvlJc w:val="left"/>
      <w:pPr>
        <w:ind w:left="0" w:firstLine="425"/>
      </w:pPr>
      <w:rPr>
        <w:rFonts w:hint="eastAsia"/>
      </w:rPr>
    </w:lvl>
    <w:lvl w:ilvl="2" w:tentative="0">
      <w:start w:val="1"/>
      <w:numFmt w:val="chineseCountingThousand"/>
      <w:lvlRestart w:val="0"/>
      <w:pStyle w:val="4"/>
      <w:suff w:val="space"/>
      <w:lvlText w:val="第%3条"/>
      <w:lvlJc w:val="left"/>
      <w:pPr>
        <w:ind w:left="0" w:firstLine="0"/>
      </w:pPr>
      <w:rPr>
        <w:rFonts w:hint="eastAsia"/>
        <w:b/>
        <w:bCs/>
        <w:sz w:val="32"/>
        <w:szCs w:val="32"/>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2070BBE"/>
    <w:multiLevelType w:val="multilevel"/>
    <w:tmpl w:val="52070B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7C74072"/>
    <w:multiLevelType w:val="multilevel"/>
    <w:tmpl w:val="57C74072"/>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3">
    <w:nsid w:val="5DF6031F"/>
    <w:multiLevelType w:val="singleLevel"/>
    <w:tmpl w:val="5DF6031F"/>
    <w:lvl w:ilvl="0" w:tentative="0">
      <w:start w:val="4"/>
      <w:numFmt w:val="chineseCounting"/>
      <w:suff w:val="nothing"/>
      <w:lvlText w:val="%1、"/>
      <w:lvlJc w:val="left"/>
      <w:rPr>
        <w:rFonts w:hint="eastAsia"/>
      </w:rPr>
    </w:lvl>
  </w:abstractNum>
  <w:abstractNum w:abstractNumId="4">
    <w:nsid w:val="68EE42F2"/>
    <w:multiLevelType w:val="multilevel"/>
    <w:tmpl w:val="68EE42F2"/>
    <w:lvl w:ilvl="0" w:tentative="0">
      <w:start w:val="1"/>
      <w:numFmt w:val="decimal"/>
      <w:lvlText w:val="（%1）"/>
      <w:lvlJc w:val="center"/>
      <w:pPr>
        <w:ind w:left="1040" w:hanging="440"/>
      </w:pPr>
      <w:rPr>
        <w:rFonts w:hint="eastAsia"/>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5">
    <w:nsid w:val="7B7FB238"/>
    <w:multiLevelType w:val="singleLevel"/>
    <w:tmpl w:val="7B7FB238"/>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86"/>
    <w:rsid w:val="00000C61"/>
    <w:rsid w:val="000108CA"/>
    <w:rsid w:val="000112CC"/>
    <w:rsid w:val="00022341"/>
    <w:rsid w:val="00022D8D"/>
    <w:rsid w:val="000250F7"/>
    <w:rsid w:val="00030616"/>
    <w:rsid w:val="00037EB0"/>
    <w:rsid w:val="0006294D"/>
    <w:rsid w:val="000629D8"/>
    <w:rsid w:val="0007132A"/>
    <w:rsid w:val="000A1E2A"/>
    <w:rsid w:val="000A6D47"/>
    <w:rsid w:val="000B77DF"/>
    <w:rsid w:val="000C032B"/>
    <w:rsid w:val="000D2C4B"/>
    <w:rsid w:val="000E496F"/>
    <w:rsid w:val="001025EA"/>
    <w:rsid w:val="00106B55"/>
    <w:rsid w:val="00125D1B"/>
    <w:rsid w:val="00131086"/>
    <w:rsid w:val="00145022"/>
    <w:rsid w:val="00163751"/>
    <w:rsid w:val="00165958"/>
    <w:rsid w:val="00175579"/>
    <w:rsid w:val="00181D46"/>
    <w:rsid w:val="0018563E"/>
    <w:rsid w:val="00186CF2"/>
    <w:rsid w:val="001A36FF"/>
    <w:rsid w:val="001A721D"/>
    <w:rsid w:val="001B0DC3"/>
    <w:rsid w:val="001C7747"/>
    <w:rsid w:val="001F2164"/>
    <w:rsid w:val="0020195B"/>
    <w:rsid w:val="00215919"/>
    <w:rsid w:val="00246015"/>
    <w:rsid w:val="00254B1C"/>
    <w:rsid w:val="002626A5"/>
    <w:rsid w:val="00265AB2"/>
    <w:rsid w:val="0028041D"/>
    <w:rsid w:val="0028661B"/>
    <w:rsid w:val="0029319D"/>
    <w:rsid w:val="0029377B"/>
    <w:rsid w:val="00294542"/>
    <w:rsid w:val="002972E8"/>
    <w:rsid w:val="00297556"/>
    <w:rsid w:val="002D5580"/>
    <w:rsid w:val="002E02D0"/>
    <w:rsid w:val="00312605"/>
    <w:rsid w:val="00314324"/>
    <w:rsid w:val="00320818"/>
    <w:rsid w:val="00321CA4"/>
    <w:rsid w:val="0033069D"/>
    <w:rsid w:val="00351103"/>
    <w:rsid w:val="00361598"/>
    <w:rsid w:val="00364311"/>
    <w:rsid w:val="00364CD8"/>
    <w:rsid w:val="00391373"/>
    <w:rsid w:val="00392284"/>
    <w:rsid w:val="00395E63"/>
    <w:rsid w:val="003B1C33"/>
    <w:rsid w:val="003C56FA"/>
    <w:rsid w:val="003C7405"/>
    <w:rsid w:val="003D09E3"/>
    <w:rsid w:val="003D37A5"/>
    <w:rsid w:val="003E64F0"/>
    <w:rsid w:val="003F0F2E"/>
    <w:rsid w:val="003F689C"/>
    <w:rsid w:val="00414E71"/>
    <w:rsid w:val="00425827"/>
    <w:rsid w:val="0043000E"/>
    <w:rsid w:val="00432E40"/>
    <w:rsid w:val="004373F9"/>
    <w:rsid w:val="00443BDA"/>
    <w:rsid w:val="004751A6"/>
    <w:rsid w:val="004918D0"/>
    <w:rsid w:val="004A32BE"/>
    <w:rsid w:val="004A795B"/>
    <w:rsid w:val="004B3DF4"/>
    <w:rsid w:val="004D4B4B"/>
    <w:rsid w:val="004F4631"/>
    <w:rsid w:val="00504E70"/>
    <w:rsid w:val="00507D0F"/>
    <w:rsid w:val="005247A9"/>
    <w:rsid w:val="00525308"/>
    <w:rsid w:val="005313B0"/>
    <w:rsid w:val="00544403"/>
    <w:rsid w:val="005544DD"/>
    <w:rsid w:val="00557913"/>
    <w:rsid w:val="00562B7C"/>
    <w:rsid w:val="005772EA"/>
    <w:rsid w:val="00590CE0"/>
    <w:rsid w:val="00591C65"/>
    <w:rsid w:val="00597505"/>
    <w:rsid w:val="005A2F47"/>
    <w:rsid w:val="005A5F92"/>
    <w:rsid w:val="005B2129"/>
    <w:rsid w:val="005C5C43"/>
    <w:rsid w:val="005C5FFA"/>
    <w:rsid w:val="005D50D3"/>
    <w:rsid w:val="005E4686"/>
    <w:rsid w:val="005E63D0"/>
    <w:rsid w:val="005F32A9"/>
    <w:rsid w:val="005F3F09"/>
    <w:rsid w:val="00615A1E"/>
    <w:rsid w:val="0062137C"/>
    <w:rsid w:val="0062536A"/>
    <w:rsid w:val="006323C5"/>
    <w:rsid w:val="006351A7"/>
    <w:rsid w:val="006522BF"/>
    <w:rsid w:val="0065794D"/>
    <w:rsid w:val="00670A68"/>
    <w:rsid w:val="00680D15"/>
    <w:rsid w:val="0068399D"/>
    <w:rsid w:val="0068799A"/>
    <w:rsid w:val="006B1C9B"/>
    <w:rsid w:val="006B26A6"/>
    <w:rsid w:val="006D72AA"/>
    <w:rsid w:val="006E1BE6"/>
    <w:rsid w:val="007167DC"/>
    <w:rsid w:val="00742F6D"/>
    <w:rsid w:val="007548CC"/>
    <w:rsid w:val="00762CCC"/>
    <w:rsid w:val="00770D52"/>
    <w:rsid w:val="00773448"/>
    <w:rsid w:val="00794CD3"/>
    <w:rsid w:val="0079794F"/>
    <w:rsid w:val="007A34B2"/>
    <w:rsid w:val="007C22B8"/>
    <w:rsid w:val="007D617B"/>
    <w:rsid w:val="007E1699"/>
    <w:rsid w:val="00802E90"/>
    <w:rsid w:val="0080475B"/>
    <w:rsid w:val="00807059"/>
    <w:rsid w:val="00824221"/>
    <w:rsid w:val="00830191"/>
    <w:rsid w:val="00835505"/>
    <w:rsid w:val="0084305C"/>
    <w:rsid w:val="0084554F"/>
    <w:rsid w:val="00860BF5"/>
    <w:rsid w:val="0086137C"/>
    <w:rsid w:val="0086326E"/>
    <w:rsid w:val="0086390F"/>
    <w:rsid w:val="00880197"/>
    <w:rsid w:val="00880EA8"/>
    <w:rsid w:val="00882389"/>
    <w:rsid w:val="008A7885"/>
    <w:rsid w:val="008B545A"/>
    <w:rsid w:val="008E0D37"/>
    <w:rsid w:val="009125E1"/>
    <w:rsid w:val="009317EA"/>
    <w:rsid w:val="00936CE2"/>
    <w:rsid w:val="009430C9"/>
    <w:rsid w:val="0096603B"/>
    <w:rsid w:val="0097259E"/>
    <w:rsid w:val="00976E50"/>
    <w:rsid w:val="009A466F"/>
    <w:rsid w:val="009B2EDF"/>
    <w:rsid w:val="009B3C12"/>
    <w:rsid w:val="009B4D6F"/>
    <w:rsid w:val="009B5A3D"/>
    <w:rsid w:val="009E4893"/>
    <w:rsid w:val="009E73BC"/>
    <w:rsid w:val="009E7A6E"/>
    <w:rsid w:val="009F1215"/>
    <w:rsid w:val="00A01B06"/>
    <w:rsid w:val="00A054CA"/>
    <w:rsid w:val="00A12649"/>
    <w:rsid w:val="00A13C6C"/>
    <w:rsid w:val="00A72BDB"/>
    <w:rsid w:val="00A903ED"/>
    <w:rsid w:val="00AA5012"/>
    <w:rsid w:val="00AB10D1"/>
    <w:rsid w:val="00AB41A6"/>
    <w:rsid w:val="00AC466F"/>
    <w:rsid w:val="00AC75BC"/>
    <w:rsid w:val="00AD4720"/>
    <w:rsid w:val="00AE0805"/>
    <w:rsid w:val="00AE4977"/>
    <w:rsid w:val="00AE6104"/>
    <w:rsid w:val="00AF0AB5"/>
    <w:rsid w:val="00B16A86"/>
    <w:rsid w:val="00B172E8"/>
    <w:rsid w:val="00B34F39"/>
    <w:rsid w:val="00B434E8"/>
    <w:rsid w:val="00B62112"/>
    <w:rsid w:val="00B816D9"/>
    <w:rsid w:val="00B82BAE"/>
    <w:rsid w:val="00B8446F"/>
    <w:rsid w:val="00B9017A"/>
    <w:rsid w:val="00B9172A"/>
    <w:rsid w:val="00B9215E"/>
    <w:rsid w:val="00BA7C8A"/>
    <w:rsid w:val="00BB3AC1"/>
    <w:rsid w:val="00BB5E03"/>
    <w:rsid w:val="00BC1FD1"/>
    <w:rsid w:val="00BE5612"/>
    <w:rsid w:val="00C004FD"/>
    <w:rsid w:val="00C07CB5"/>
    <w:rsid w:val="00C13028"/>
    <w:rsid w:val="00C216FC"/>
    <w:rsid w:val="00C32882"/>
    <w:rsid w:val="00C34A05"/>
    <w:rsid w:val="00C40C86"/>
    <w:rsid w:val="00C508FD"/>
    <w:rsid w:val="00C54D13"/>
    <w:rsid w:val="00C568D6"/>
    <w:rsid w:val="00C634A1"/>
    <w:rsid w:val="00C85AF4"/>
    <w:rsid w:val="00CA3DA4"/>
    <w:rsid w:val="00CC0A58"/>
    <w:rsid w:val="00CC3025"/>
    <w:rsid w:val="00CD174D"/>
    <w:rsid w:val="00CE1249"/>
    <w:rsid w:val="00CE35B6"/>
    <w:rsid w:val="00CE4A88"/>
    <w:rsid w:val="00D12D97"/>
    <w:rsid w:val="00D4727F"/>
    <w:rsid w:val="00D53411"/>
    <w:rsid w:val="00D57B40"/>
    <w:rsid w:val="00D74E88"/>
    <w:rsid w:val="00D83948"/>
    <w:rsid w:val="00D86FFA"/>
    <w:rsid w:val="00D9479F"/>
    <w:rsid w:val="00DD4A84"/>
    <w:rsid w:val="00DD7C2E"/>
    <w:rsid w:val="00DE391C"/>
    <w:rsid w:val="00DE56A2"/>
    <w:rsid w:val="00DF41BB"/>
    <w:rsid w:val="00E52932"/>
    <w:rsid w:val="00E55536"/>
    <w:rsid w:val="00E843EC"/>
    <w:rsid w:val="00E97B2B"/>
    <w:rsid w:val="00EB2F08"/>
    <w:rsid w:val="00EE3B56"/>
    <w:rsid w:val="00F128D7"/>
    <w:rsid w:val="00F2401A"/>
    <w:rsid w:val="00F25260"/>
    <w:rsid w:val="00F27E08"/>
    <w:rsid w:val="00F30BA9"/>
    <w:rsid w:val="00F34BD3"/>
    <w:rsid w:val="00F3546B"/>
    <w:rsid w:val="00F61592"/>
    <w:rsid w:val="00F768A6"/>
    <w:rsid w:val="00F8125B"/>
    <w:rsid w:val="00F9791A"/>
    <w:rsid w:val="00FA1074"/>
    <w:rsid w:val="00FB2A61"/>
    <w:rsid w:val="00FB3BF8"/>
    <w:rsid w:val="00FD6BAF"/>
    <w:rsid w:val="00FF65F6"/>
    <w:rsid w:val="03ED12DB"/>
    <w:rsid w:val="068072BD"/>
    <w:rsid w:val="09C40716"/>
    <w:rsid w:val="0BEC183B"/>
    <w:rsid w:val="21B330B1"/>
    <w:rsid w:val="2FF3E18E"/>
    <w:rsid w:val="4FFAAB46"/>
    <w:rsid w:val="59D71399"/>
    <w:rsid w:val="69CD4F11"/>
    <w:rsid w:val="6E961F7F"/>
    <w:rsid w:val="726C6365"/>
    <w:rsid w:val="74782320"/>
    <w:rsid w:val="774FCDE3"/>
    <w:rsid w:val="BBB2B782"/>
    <w:rsid w:val="BBFDEDD8"/>
    <w:rsid w:val="F8BE8900"/>
    <w:rsid w:val="FBDB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5"/>
    <w:qFormat/>
    <w:uiPriority w:val="9"/>
    <w:pPr>
      <w:keepNext/>
      <w:keepLines/>
      <w:numPr>
        <w:ilvl w:val="0"/>
        <w:numId w:val="1"/>
      </w:numPr>
      <w:spacing w:before="120" w:after="120"/>
      <w:ind w:firstLineChars="0"/>
      <w:jc w:val="center"/>
      <w:outlineLvl w:val="0"/>
    </w:pPr>
    <w:rPr>
      <w:rFonts w:eastAsia="楷体_GB2312"/>
      <w:b/>
      <w:bCs/>
      <w:kern w:val="44"/>
      <w:sz w:val="32"/>
      <w:szCs w:val="44"/>
    </w:rPr>
  </w:style>
  <w:style w:type="paragraph" w:styleId="3">
    <w:name w:val="heading 2"/>
    <w:basedOn w:val="1"/>
    <w:next w:val="1"/>
    <w:link w:val="17"/>
    <w:unhideWhenUsed/>
    <w:qFormat/>
    <w:uiPriority w:val="9"/>
    <w:pPr>
      <w:keepNext/>
      <w:keepLines/>
      <w:numPr>
        <w:ilvl w:val="1"/>
        <w:numId w:val="1"/>
      </w:numPr>
      <w:spacing w:before="260" w:after="260" w:line="416" w:lineRule="atLeast"/>
      <w:ind w:firstLine="0" w:firstLineChars="0"/>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numPr>
        <w:ilvl w:val="2"/>
        <w:numId w:val="1"/>
      </w:numPr>
      <w:ind w:firstLine="200"/>
      <w:outlineLvl w:val="2"/>
    </w:pPr>
    <w:rPr>
      <w:bCs/>
      <w:szCs w:val="32"/>
    </w:rPr>
  </w:style>
  <w:style w:type="paragraph" w:styleId="5">
    <w:name w:val="heading 4"/>
    <w:basedOn w:val="1"/>
    <w:next w:val="1"/>
    <w:link w:val="18"/>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标题 1 字符"/>
    <w:basedOn w:val="12"/>
    <w:link w:val="2"/>
    <w:qFormat/>
    <w:uiPriority w:val="9"/>
    <w:rPr>
      <w:rFonts w:eastAsia="楷体_GB2312"/>
      <w:b/>
      <w:bCs/>
      <w:kern w:val="44"/>
      <w:sz w:val="32"/>
      <w:szCs w:val="44"/>
    </w:rPr>
  </w:style>
  <w:style w:type="character" w:customStyle="1" w:styleId="16">
    <w:name w:val="标题 3 字符"/>
    <w:basedOn w:val="12"/>
    <w:link w:val="4"/>
    <w:qFormat/>
    <w:uiPriority w:val="9"/>
    <w:rPr>
      <w:rFonts w:eastAsia="仿宋_GB2312"/>
      <w:bCs/>
      <w:sz w:val="30"/>
      <w:szCs w:val="32"/>
    </w:rPr>
  </w:style>
  <w:style w:type="character" w:customStyle="1" w:styleId="17">
    <w:name w:val="标题 2 字符"/>
    <w:basedOn w:val="12"/>
    <w:link w:val="3"/>
    <w:qFormat/>
    <w:uiPriority w:val="9"/>
    <w:rPr>
      <w:rFonts w:asciiTheme="majorHAnsi" w:hAnsiTheme="majorHAnsi" w:eastAsiaTheme="majorEastAsia" w:cstheme="majorBidi"/>
      <w:b/>
      <w:bCs/>
      <w:sz w:val="32"/>
      <w:szCs w:val="32"/>
    </w:rPr>
  </w:style>
  <w:style w:type="character" w:customStyle="1" w:styleId="18">
    <w:name w:val="标题 4 字符"/>
    <w:basedOn w:val="12"/>
    <w:link w:val="5"/>
    <w:qFormat/>
    <w:uiPriority w:val="9"/>
    <w:rPr>
      <w:rFonts w:asciiTheme="majorHAnsi" w:hAnsiTheme="majorHAnsi" w:eastAsiaTheme="majorEastAsia" w:cstheme="majorBidi"/>
      <w:b/>
      <w:bCs/>
      <w:sz w:val="28"/>
      <w:szCs w:val="28"/>
    </w:rPr>
  </w:style>
  <w:style w:type="paragraph" w:styleId="19">
    <w:name w:val="List Paragraph"/>
    <w:basedOn w:val="1"/>
    <w:qFormat/>
    <w:uiPriority w:val="34"/>
    <w:pPr>
      <w:ind w:firstLine="420"/>
    </w:pPr>
  </w:style>
  <w:style w:type="table" w:customStyle="1" w:styleId="20">
    <w:name w:val="网格型3"/>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3280</Words>
  <Characters>3299</Characters>
  <Lines>24</Lines>
  <Paragraphs>6</Paragraphs>
  <TotalTime>5</TotalTime>
  <ScaleCrop>false</ScaleCrop>
  <LinksUpToDate>false</LinksUpToDate>
  <CharactersWithSpaces>3301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2025-08-03T02:13:00Z</dcterms:created>
  <dc:creator>F X</dc:creator>
  <cp:lastModifiedBy>胖爷</cp:lastModifiedBy>
  <cp:lastPrinted>2025-08-02T08:06:00Z</cp:lastPrinted>
  <dcterms:modified xsi:type="dcterms:W3CDTF">2025-08-15T14:11:27Z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eyJoZGlkIjoiYTQzZmUzZTQwYzQ0YjllOTAxMTU2OTg1NzBlMjA5YjIiLCJ1c2VySWQiOiIyMDI3Mzk5OTEifQ==</vt:lpwstr>
  </property>
  <property fmtid="{D5CDD505-2E9C-101B-9397-08002B2CF9AE}" pid="3" name="KSOProductBuildVer">
    <vt:lpwstr>2052-11.8.2.11764</vt:lpwstr>
  </property>
  <property fmtid="{D5CDD505-2E9C-101B-9397-08002B2CF9AE}" pid="4" name="ICV">
    <vt:lpwstr>436FF71BBD3D4112A8B04AF8B213D626_13</vt:lpwstr>
  </property>
</Properties>
</file>