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32"/>
          <w:highlight w:val="none"/>
          <w:lang w:eastAsia="zh-CN"/>
        </w:rPr>
      </w:pPr>
      <w:r>
        <w:rPr>
          <w:rFonts w:hint="eastAsia" w:ascii="宋体" w:hAnsi="宋体"/>
          <w:b/>
          <w:sz w:val="44"/>
          <w:szCs w:val="32"/>
          <w:highlight w:val="none"/>
          <w:lang w:eastAsia="zh-CN"/>
        </w:rPr>
        <w:t>四川省文物局</w:t>
      </w:r>
    </w:p>
    <w:p>
      <w:pPr>
        <w:jc w:val="center"/>
        <w:rPr>
          <w:rFonts w:ascii="宋体" w:hAnsi="宋体"/>
          <w:b/>
          <w:sz w:val="44"/>
          <w:szCs w:val="32"/>
          <w:highlight w:val="none"/>
        </w:rPr>
      </w:pPr>
      <w:r>
        <w:rPr>
          <w:rFonts w:hint="eastAsia" w:ascii="宋体" w:hAnsi="宋体"/>
          <w:b/>
          <w:sz w:val="44"/>
          <w:szCs w:val="32"/>
          <w:highlight w:val="none"/>
        </w:rPr>
        <w:t>研究设立四川省文物保护标准化技术委员会</w:t>
      </w:r>
    </w:p>
    <w:p>
      <w:pPr>
        <w:jc w:val="center"/>
        <w:rPr>
          <w:rFonts w:ascii="宋体" w:hAnsi="宋体"/>
          <w:b/>
          <w:sz w:val="44"/>
          <w:szCs w:val="32"/>
          <w:highlight w:val="none"/>
        </w:rPr>
      </w:pPr>
      <w:r>
        <w:rPr>
          <w:rFonts w:hint="eastAsia" w:ascii="宋体" w:hAnsi="宋体"/>
          <w:b/>
          <w:sz w:val="44"/>
          <w:szCs w:val="32"/>
          <w:highlight w:val="none"/>
        </w:rPr>
        <w:t>服务项目</w:t>
      </w:r>
    </w:p>
    <w:p>
      <w:pPr>
        <w:pStyle w:val="10"/>
        <w:rPr>
          <w:rFonts w:hint="eastAsia"/>
          <w:highlight w:val="none"/>
        </w:rPr>
      </w:pPr>
    </w:p>
    <w:p>
      <w:pPr>
        <w:jc w:val="center"/>
        <w:rPr>
          <w:rFonts w:hint="eastAsia" w:ascii="宋体"/>
          <w:b/>
          <w:sz w:val="72"/>
          <w:szCs w:val="72"/>
          <w:highlight w:val="none"/>
        </w:rPr>
      </w:pPr>
    </w:p>
    <w:p>
      <w:pPr>
        <w:jc w:val="center"/>
        <w:rPr>
          <w:rFonts w:hint="eastAsia" w:ascii="宋体"/>
          <w:b/>
          <w:sz w:val="72"/>
          <w:szCs w:val="72"/>
          <w:highlight w:val="none"/>
        </w:rPr>
      </w:pPr>
      <w:r>
        <w:rPr>
          <w:rFonts w:hint="eastAsia" w:ascii="宋体"/>
          <w:b/>
          <w:sz w:val="72"/>
          <w:szCs w:val="72"/>
          <w:highlight w:val="none"/>
        </w:rPr>
        <w:t>比</w:t>
      </w:r>
    </w:p>
    <w:p>
      <w:pPr>
        <w:jc w:val="center"/>
        <w:rPr>
          <w:rFonts w:hint="eastAsia" w:ascii="宋体"/>
          <w:b/>
          <w:sz w:val="72"/>
          <w:szCs w:val="72"/>
          <w:highlight w:val="none"/>
        </w:rPr>
      </w:pPr>
      <w:r>
        <w:rPr>
          <w:rFonts w:hint="eastAsia" w:ascii="宋体"/>
          <w:b/>
          <w:sz w:val="72"/>
          <w:szCs w:val="72"/>
          <w:highlight w:val="none"/>
        </w:rPr>
        <w:t>选</w:t>
      </w:r>
    </w:p>
    <w:p>
      <w:pPr>
        <w:jc w:val="center"/>
        <w:rPr>
          <w:rFonts w:hint="eastAsia" w:ascii="宋体"/>
          <w:b/>
          <w:sz w:val="72"/>
          <w:szCs w:val="72"/>
          <w:highlight w:val="none"/>
        </w:rPr>
      </w:pPr>
      <w:r>
        <w:rPr>
          <w:rFonts w:hint="eastAsia" w:ascii="宋体"/>
          <w:b/>
          <w:sz w:val="72"/>
          <w:szCs w:val="72"/>
          <w:highlight w:val="none"/>
        </w:rPr>
        <w:t>文</w:t>
      </w:r>
    </w:p>
    <w:p>
      <w:pPr>
        <w:jc w:val="center"/>
        <w:rPr>
          <w:rFonts w:hint="eastAsia"/>
          <w:b/>
          <w:sz w:val="52"/>
          <w:szCs w:val="52"/>
          <w:highlight w:val="none"/>
        </w:rPr>
      </w:pPr>
      <w:r>
        <w:rPr>
          <w:rFonts w:hint="eastAsia" w:ascii="宋体"/>
          <w:b/>
          <w:sz w:val="72"/>
          <w:szCs w:val="72"/>
          <w:highlight w:val="none"/>
        </w:rPr>
        <w:t>件</w:t>
      </w:r>
    </w:p>
    <w:p>
      <w:pPr>
        <w:rPr>
          <w:rFonts w:hint="eastAsia"/>
          <w:b/>
          <w:sz w:val="52"/>
          <w:szCs w:val="52"/>
          <w:highlight w:val="none"/>
        </w:rPr>
      </w:pPr>
    </w:p>
    <w:p>
      <w:pPr>
        <w:rPr>
          <w:rFonts w:hint="eastAsia"/>
          <w:b/>
          <w:sz w:val="52"/>
          <w:szCs w:val="52"/>
          <w:highlight w:val="none"/>
        </w:rPr>
      </w:pPr>
    </w:p>
    <w:p>
      <w:pPr>
        <w:rPr>
          <w:rFonts w:hint="eastAsia"/>
          <w:b/>
          <w:sz w:val="32"/>
          <w:szCs w:val="32"/>
          <w:highlight w:val="none"/>
        </w:rPr>
      </w:pPr>
      <w:r>
        <w:rPr>
          <w:rFonts w:hint="eastAsia" w:ascii="宋体"/>
          <w:b/>
          <w:sz w:val="52"/>
          <w:szCs w:val="52"/>
          <w:highlight w:val="none"/>
        </w:rPr>
        <w:tab/>
      </w:r>
    </w:p>
    <w:p>
      <w:pPr>
        <w:spacing w:line="360" w:lineRule="auto"/>
        <w:rPr>
          <w:rFonts w:hint="eastAsia"/>
          <w:b/>
          <w:sz w:val="32"/>
          <w:szCs w:val="32"/>
          <w:highlight w:val="none"/>
        </w:rPr>
      </w:pPr>
    </w:p>
    <w:p>
      <w:pPr>
        <w:spacing w:line="360" w:lineRule="auto"/>
        <w:rPr>
          <w:rFonts w:hint="eastAsia"/>
          <w:b/>
          <w:sz w:val="32"/>
          <w:szCs w:val="32"/>
          <w:highlight w:val="none"/>
        </w:rPr>
      </w:pPr>
    </w:p>
    <w:p>
      <w:pPr>
        <w:spacing w:line="360" w:lineRule="auto"/>
        <w:jc w:val="both"/>
        <w:rPr>
          <w:rFonts w:hint="eastAsia"/>
          <w:b/>
          <w:sz w:val="32"/>
          <w:szCs w:val="32"/>
          <w:highlight w:val="none"/>
        </w:rPr>
      </w:pPr>
    </w:p>
    <w:p>
      <w:pPr>
        <w:spacing w:line="360" w:lineRule="auto"/>
        <w:jc w:val="center"/>
        <w:rPr>
          <w:rFonts w:hint="eastAsia"/>
          <w:b/>
          <w:sz w:val="32"/>
          <w:szCs w:val="32"/>
          <w:highlight w:val="none"/>
        </w:rPr>
      </w:pPr>
    </w:p>
    <w:p>
      <w:pPr>
        <w:spacing w:line="360" w:lineRule="auto"/>
        <w:jc w:val="center"/>
        <w:rPr>
          <w:rFonts w:hint="eastAsia" w:eastAsia="宋体"/>
          <w:b/>
          <w:bCs/>
          <w:sz w:val="32"/>
          <w:szCs w:val="32"/>
          <w:highlight w:val="none"/>
          <w:lang w:eastAsia="zh-CN"/>
        </w:rPr>
      </w:pPr>
      <w:r>
        <w:rPr>
          <w:rFonts w:hint="eastAsia"/>
          <w:b/>
          <w:bCs/>
          <w:sz w:val="32"/>
          <w:szCs w:val="32"/>
          <w:highlight w:val="none"/>
        </w:rPr>
        <w:t>四川省</w:t>
      </w:r>
      <w:r>
        <w:rPr>
          <w:rFonts w:hint="eastAsia"/>
          <w:b/>
          <w:bCs/>
          <w:sz w:val="32"/>
          <w:szCs w:val="32"/>
          <w:highlight w:val="none"/>
          <w:lang w:eastAsia="zh-CN"/>
        </w:rPr>
        <w:t>文物局</w:t>
      </w:r>
    </w:p>
    <w:p>
      <w:pPr>
        <w:spacing w:line="360" w:lineRule="auto"/>
        <w:ind w:firstLine="3300" w:firstLineChars="1096"/>
        <w:rPr>
          <w:rFonts w:hint="eastAsia" w:ascii="宋体" w:hAnsi="宋体" w:eastAsia="宋体" w:cs="宋体"/>
          <w:sz w:val="24"/>
          <w:highlight w:val="none"/>
        </w:rPr>
      </w:pPr>
      <w:r>
        <w:rPr>
          <w:rFonts w:hint="eastAsia" w:ascii="宋体" w:hAnsi="宋体" w:eastAsia="宋体" w:cs="宋体"/>
          <w:b/>
          <w:sz w:val="30"/>
          <w:szCs w:val="30"/>
          <w:highlight w:val="none"/>
        </w:rPr>
        <w:t>202</w:t>
      </w:r>
      <w:r>
        <w:rPr>
          <w:rFonts w:hint="eastAsia" w:ascii="宋体" w:hAnsi="宋体" w:cs="宋体"/>
          <w:b/>
          <w:sz w:val="30"/>
          <w:szCs w:val="30"/>
          <w:highlight w:val="none"/>
          <w:lang w:val="en-US" w:eastAsia="zh-CN"/>
        </w:rPr>
        <w:t>3</w:t>
      </w:r>
      <w:r>
        <w:rPr>
          <w:rFonts w:hint="eastAsia" w:ascii="宋体" w:hAnsi="宋体" w:eastAsia="宋体" w:cs="宋体"/>
          <w:b/>
          <w:bCs/>
          <w:sz w:val="32"/>
          <w:szCs w:val="32"/>
          <w:highlight w:val="none"/>
          <w:lang w:val="zh-CN"/>
        </w:rPr>
        <w:t>年</w:t>
      </w:r>
      <w:r>
        <w:rPr>
          <w:rFonts w:hint="eastAsia" w:ascii="宋体" w:hAnsi="宋体" w:cs="宋体"/>
          <w:b/>
          <w:bCs/>
          <w:sz w:val="32"/>
          <w:szCs w:val="32"/>
          <w:highlight w:val="none"/>
          <w:lang w:val="en-US" w:eastAsia="zh-CN"/>
        </w:rPr>
        <w:t>11</w:t>
      </w:r>
      <w:r>
        <w:rPr>
          <w:rFonts w:hint="eastAsia" w:ascii="宋体" w:hAnsi="宋体" w:eastAsia="宋体" w:cs="宋体"/>
          <w:b/>
          <w:bCs/>
          <w:sz w:val="32"/>
          <w:szCs w:val="32"/>
          <w:highlight w:val="none"/>
          <w:lang w:val="zh-CN"/>
        </w:rPr>
        <w:t>月</w:t>
      </w:r>
    </w:p>
    <w:p>
      <w:pPr>
        <w:spacing w:line="360" w:lineRule="auto"/>
        <w:rPr>
          <w:rFonts w:hint="eastAsia" w:ascii="宋体"/>
          <w:b/>
          <w:bCs/>
          <w:sz w:val="24"/>
          <w:highlight w:val="none"/>
        </w:rPr>
      </w:pPr>
    </w:p>
    <w:p>
      <w:pPr>
        <w:spacing w:line="400" w:lineRule="exact"/>
        <w:rPr>
          <w:rFonts w:hint="eastAsia" w:ascii="宋体"/>
          <w:sz w:val="32"/>
          <w:highlight w:val="none"/>
        </w:rPr>
        <w:sectPr>
          <w:footerReference r:id="rId4" w:type="default"/>
          <w:headerReference r:id="rId3" w:type="even"/>
          <w:footerReference r:id="rId5" w:type="even"/>
          <w:pgSz w:w="11907" w:h="16840"/>
          <w:pgMar w:top="1418" w:right="1514" w:bottom="1418" w:left="1985" w:header="851" w:footer="992" w:gutter="0"/>
          <w:pgNumType w:start="1"/>
          <w:cols w:space="720" w:num="1"/>
          <w:docGrid w:linePitch="312" w:charSpace="0"/>
        </w:sectPr>
      </w:pPr>
    </w:p>
    <w:p>
      <w:pPr>
        <w:pStyle w:val="5"/>
        <w:spacing w:line="360" w:lineRule="exact"/>
        <w:jc w:val="center"/>
        <w:rPr>
          <w:rFonts w:hint="eastAsia" w:ascii="宋体" w:eastAsia="宋体"/>
          <w:b w:val="0"/>
          <w:bCs w:val="0"/>
          <w:sz w:val="36"/>
          <w:highlight w:val="none"/>
        </w:rPr>
      </w:pPr>
      <w:bookmarkStart w:id="0" w:name="_Hlt101843627"/>
      <w:bookmarkEnd w:id="0"/>
      <w:bookmarkStart w:id="1" w:name="_Hlt101233737"/>
      <w:bookmarkEnd w:id="1"/>
    </w:p>
    <w:p>
      <w:pPr>
        <w:pStyle w:val="5"/>
        <w:spacing w:line="360" w:lineRule="exact"/>
        <w:jc w:val="center"/>
        <w:rPr>
          <w:rFonts w:hint="eastAsia" w:ascii="宋体" w:eastAsia="宋体"/>
          <w:b/>
          <w:bCs w:val="0"/>
          <w:sz w:val="36"/>
          <w:highlight w:val="none"/>
        </w:rPr>
      </w:pPr>
      <w:r>
        <w:rPr>
          <w:rFonts w:hint="eastAsia" w:ascii="宋体" w:eastAsia="宋体"/>
          <w:b/>
          <w:bCs w:val="0"/>
          <w:sz w:val="36"/>
          <w:highlight w:val="none"/>
        </w:rPr>
        <w:t>目    录</w:t>
      </w:r>
    </w:p>
    <w:p>
      <w:pPr>
        <w:rPr>
          <w:rFonts w:hint="eastAsia"/>
          <w:highlight w:val="none"/>
        </w:rPr>
      </w:pPr>
    </w:p>
    <w:p>
      <w:pPr>
        <w:pStyle w:val="18"/>
        <w:keepNext w:val="0"/>
        <w:keepLines w:val="0"/>
        <w:pageBreakBefore w:val="0"/>
        <w:widowControl w:val="0"/>
        <w:tabs>
          <w:tab w:val="right" w:leader="dot" w:pos="8959"/>
        </w:tabs>
        <w:kinsoku/>
        <w:wordWrap/>
        <w:overflowPunct/>
        <w:topLinePunct w:val="0"/>
        <w:autoSpaceDE/>
        <w:autoSpaceDN/>
        <w:bidi w:val="0"/>
        <w:adjustRightInd/>
        <w:snapToGrid/>
        <w:spacing w:line="360" w:lineRule="auto"/>
        <w:textAlignment w:val="auto"/>
        <w:rPr>
          <w:sz w:val="28"/>
          <w:szCs w:val="28"/>
          <w:highlight w:val="none"/>
        </w:rPr>
      </w:pPr>
      <w:r>
        <w:rPr>
          <w:rFonts w:hint="eastAsia"/>
          <w:sz w:val="28"/>
          <w:szCs w:val="28"/>
          <w:highlight w:val="none"/>
        </w:rPr>
        <w:fldChar w:fldCharType="begin"/>
      </w:r>
      <w:r>
        <w:rPr>
          <w:rFonts w:hint="eastAsia"/>
          <w:sz w:val="28"/>
          <w:szCs w:val="28"/>
          <w:highlight w:val="none"/>
        </w:rPr>
        <w:instrText xml:space="preserve">TOC \o "1-1" \h \u </w:instrText>
      </w:r>
      <w:r>
        <w:rPr>
          <w:rFonts w:hint="eastAsia"/>
          <w:sz w:val="28"/>
          <w:szCs w:val="28"/>
          <w:highlight w:val="none"/>
        </w:rPr>
        <w:fldChar w:fldCharType="separate"/>
      </w:r>
      <w:r>
        <w:rPr>
          <w:rFonts w:hint="eastAsia"/>
          <w:sz w:val="28"/>
          <w:szCs w:val="28"/>
          <w:highlight w:val="none"/>
        </w:rPr>
        <w:fldChar w:fldCharType="begin"/>
      </w:r>
      <w:r>
        <w:rPr>
          <w:rFonts w:hint="eastAsia"/>
          <w:sz w:val="28"/>
          <w:szCs w:val="28"/>
          <w:highlight w:val="none"/>
        </w:rPr>
        <w:instrText xml:space="preserve"> HYPERLINK \l _Toc29442 </w:instrText>
      </w:r>
      <w:r>
        <w:rPr>
          <w:rFonts w:hint="eastAsia"/>
          <w:sz w:val="28"/>
          <w:szCs w:val="28"/>
          <w:highlight w:val="none"/>
        </w:rPr>
        <w:fldChar w:fldCharType="separate"/>
      </w:r>
      <w:r>
        <w:rPr>
          <w:rFonts w:hint="eastAsia"/>
          <w:sz w:val="28"/>
          <w:szCs w:val="28"/>
          <w:highlight w:val="none"/>
        </w:rPr>
        <w:t>第一章  比选申请人须知</w:t>
      </w:r>
      <w:r>
        <w:rPr>
          <w:sz w:val="28"/>
          <w:szCs w:val="28"/>
          <w:highlight w:val="none"/>
        </w:rPr>
        <w:tab/>
      </w:r>
      <w:r>
        <w:rPr>
          <w:sz w:val="28"/>
          <w:szCs w:val="28"/>
          <w:highlight w:val="none"/>
        </w:rPr>
        <w:fldChar w:fldCharType="begin"/>
      </w:r>
      <w:r>
        <w:rPr>
          <w:sz w:val="28"/>
          <w:szCs w:val="28"/>
          <w:highlight w:val="none"/>
        </w:rPr>
        <w:instrText xml:space="preserve"> PAGEREF _Toc29442 </w:instrText>
      </w:r>
      <w:r>
        <w:rPr>
          <w:sz w:val="28"/>
          <w:szCs w:val="28"/>
          <w:highlight w:val="none"/>
        </w:rPr>
        <w:fldChar w:fldCharType="separate"/>
      </w:r>
      <w:r>
        <w:rPr>
          <w:sz w:val="28"/>
          <w:szCs w:val="28"/>
          <w:highlight w:val="none"/>
        </w:rPr>
        <w:t>3</w:t>
      </w:r>
      <w:r>
        <w:rPr>
          <w:sz w:val="28"/>
          <w:szCs w:val="28"/>
          <w:highlight w:val="none"/>
        </w:rPr>
        <w:fldChar w:fldCharType="end"/>
      </w:r>
      <w:r>
        <w:rPr>
          <w:rFonts w:hint="eastAsia"/>
          <w:sz w:val="28"/>
          <w:szCs w:val="28"/>
          <w:highlight w:val="none"/>
        </w:rPr>
        <w:fldChar w:fldCharType="end"/>
      </w:r>
    </w:p>
    <w:p>
      <w:pPr>
        <w:pStyle w:val="18"/>
        <w:keepNext w:val="0"/>
        <w:keepLines w:val="0"/>
        <w:pageBreakBefore w:val="0"/>
        <w:widowControl w:val="0"/>
        <w:tabs>
          <w:tab w:val="right" w:leader="dot" w:pos="8959"/>
        </w:tabs>
        <w:kinsoku/>
        <w:wordWrap/>
        <w:overflowPunct/>
        <w:topLinePunct w:val="0"/>
        <w:autoSpaceDE/>
        <w:autoSpaceDN/>
        <w:bidi w:val="0"/>
        <w:adjustRightInd/>
        <w:snapToGrid/>
        <w:spacing w:line="360" w:lineRule="auto"/>
        <w:textAlignment w:val="auto"/>
        <w:rPr>
          <w:sz w:val="28"/>
          <w:szCs w:val="28"/>
          <w:highlight w:val="none"/>
        </w:rPr>
      </w:pPr>
      <w:r>
        <w:rPr>
          <w:rFonts w:hint="eastAsia"/>
          <w:sz w:val="28"/>
          <w:szCs w:val="28"/>
          <w:highlight w:val="none"/>
        </w:rPr>
        <w:fldChar w:fldCharType="begin"/>
      </w:r>
      <w:r>
        <w:rPr>
          <w:rFonts w:hint="eastAsia"/>
          <w:sz w:val="28"/>
          <w:szCs w:val="28"/>
          <w:highlight w:val="none"/>
        </w:rPr>
        <w:instrText xml:space="preserve"> HYPERLINK \l _Toc25170 </w:instrText>
      </w:r>
      <w:r>
        <w:rPr>
          <w:rFonts w:hint="eastAsia"/>
          <w:sz w:val="28"/>
          <w:szCs w:val="28"/>
          <w:highlight w:val="none"/>
        </w:rPr>
        <w:fldChar w:fldCharType="separate"/>
      </w:r>
      <w:r>
        <w:rPr>
          <w:rFonts w:hint="eastAsia"/>
          <w:sz w:val="28"/>
          <w:szCs w:val="28"/>
          <w:highlight w:val="none"/>
        </w:rPr>
        <w:t>第二章  比选</w:t>
      </w:r>
      <w:r>
        <w:rPr>
          <w:rFonts w:hint="eastAsia"/>
          <w:sz w:val="28"/>
          <w:szCs w:val="28"/>
          <w:highlight w:val="none"/>
          <w:lang w:eastAsia="zh-CN"/>
        </w:rPr>
        <w:t>申请</w:t>
      </w:r>
      <w:r>
        <w:rPr>
          <w:rFonts w:hint="eastAsia"/>
          <w:sz w:val="28"/>
          <w:szCs w:val="28"/>
          <w:highlight w:val="none"/>
        </w:rPr>
        <w:t>文件格式</w:t>
      </w:r>
      <w:r>
        <w:rPr>
          <w:sz w:val="28"/>
          <w:szCs w:val="28"/>
          <w:highlight w:val="none"/>
        </w:rPr>
        <w:tab/>
      </w:r>
      <w:r>
        <w:rPr>
          <w:sz w:val="28"/>
          <w:szCs w:val="28"/>
          <w:highlight w:val="none"/>
        </w:rPr>
        <w:fldChar w:fldCharType="begin"/>
      </w:r>
      <w:r>
        <w:rPr>
          <w:sz w:val="28"/>
          <w:szCs w:val="28"/>
          <w:highlight w:val="none"/>
        </w:rPr>
        <w:instrText xml:space="preserve"> PAGEREF _Toc25170 </w:instrText>
      </w:r>
      <w:r>
        <w:rPr>
          <w:sz w:val="28"/>
          <w:szCs w:val="28"/>
          <w:highlight w:val="none"/>
        </w:rPr>
        <w:fldChar w:fldCharType="separate"/>
      </w:r>
      <w:r>
        <w:rPr>
          <w:sz w:val="28"/>
          <w:szCs w:val="28"/>
          <w:highlight w:val="none"/>
        </w:rPr>
        <w:t>14</w:t>
      </w:r>
      <w:r>
        <w:rPr>
          <w:sz w:val="28"/>
          <w:szCs w:val="28"/>
          <w:highlight w:val="none"/>
        </w:rPr>
        <w:fldChar w:fldCharType="end"/>
      </w:r>
      <w:r>
        <w:rPr>
          <w:rFonts w:hint="eastAsia"/>
          <w:sz w:val="28"/>
          <w:szCs w:val="28"/>
          <w:highlight w:val="none"/>
        </w:rPr>
        <w:fldChar w:fldCharType="end"/>
      </w:r>
    </w:p>
    <w:p>
      <w:pPr>
        <w:pStyle w:val="18"/>
        <w:keepNext w:val="0"/>
        <w:keepLines w:val="0"/>
        <w:pageBreakBefore w:val="0"/>
        <w:widowControl w:val="0"/>
        <w:tabs>
          <w:tab w:val="right" w:leader="dot" w:pos="8959"/>
        </w:tabs>
        <w:kinsoku/>
        <w:wordWrap/>
        <w:overflowPunct/>
        <w:topLinePunct w:val="0"/>
        <w:autoSpaceDE/>
        <w:autoSpaceDN/>
        <w:bidi w:val="0"/>
        <w:adjustRightInd/>
        <w:snapToGrid/>
        <w:spacing w:line="360" w:lineRule="auto"/>
        <w:textAlignment w:val="auto"/>
        <w:rPr>
          <w:sz w:val="28"/>
          <w:szCs w:val="28"/>
          <w:highlight w:val="none"/>
        </w:rPr>
      </w:pPr>
      <w:r>
        <w:rPr>
          <w:rFonts w:hint="eastAsia"/>
          <w:sz w:val="28"/>
          <w:szCs w:val="28"/>
          <w:highlight w:val="none"/>
        </w:rPr>
        <w:fldChar w:fldCharType="begin"/>
      </w:r>
      <w:r>
        <w:rPr>
          <w:rFonts w:hint="eastAsia"/>
          <w:sz w:val="28"/>
          <w:szCs w:val="28"/>
          <w:highlight w:val="none"/>
        </w:rPr>
        <w:instrText xml:space="preserve"> HYPERLINK \l _Toc6956 </w:instrText>
      </w:r>
      <w:r>
        <w:rPr>
          <w:rFonts w:hint="eastAsia"/>
          <w:sz w:val="28"/>
          <w:szCs w:val="28"/>
          <w:highlight w:val="none"/>
        </w:rPr>
        <w:fldChar w:fldCharType="separate"/>
      </w:r>
      <w:r>
        <w:rPr>
          <w:rFonts w:hint="eastAsia"/>
          <w:sz w:val="28"/>
          <w:szCs w:val="28"/>
          <w:highlight w:val="none"/>
        </w:rPr>
        <w:t>第三章  供应商和比选产品的资格、资质性及其他类似效力要求</w:t>
      </w:r>
      <w:r>
        <w:rPr>
          <w:sz w:val="28"/>
          <w:szCs w:val="28"/>
          <w:highlight w:val="none"/>
        </w:rPr>
        <w:tab/>
      </w:r>
      <w:r>
        <w:rPr>
          <w:sz w:val="28"/>
          <w:szCs w:val="28"/>
          <w:highlight w:val="none"/>
        </w:rPr>
        <w:fldChar w:fldCharType="begin"/>
      </w:r>
      <w:r>
        <w:rPr>
          <w:sz w:val="28"/>
          <w:szCs w:val="28"/>
          <w:highlight w:val="none"/>
        </w:rPr>
        <w:instrText xml:space="preserve"> PAGEREF _Toc6956 </w:instrText>
      </w:r>
      <w:r>
        <w:rPr>
          <w:sz w:val="28"/>
          <w:szCs w:val="28"/>
          <w:highlight w:val="none"/>
        </w:rPr>
        <w:fldChar w:fldCharType="separate"/>
      </w:r>
      <w:r>
        <w:rPr>
          <w:sz w:val="28"/>
          <w:szCs w:val="28"/>
          <w:highlight w:val="none"/>
        </w:rPr>
        <w:t>28</w:t>
      </w:r>
      <w:r>
        <w:rPr>
          <w:sz w:val="28"/>
          <w:szCs w:val="28"/>
          <w:highlight w:val="none"/>
        </w:rPr>
        <w:fldChar w:fldCharType="end"/>
      </w:r>
      <w:r>
        <w:rPr>
          <w:rFonts w:hint="eastAsia"/>
          <w:sz w:val="28"/>
          <w:szCs w:val="28"/>
          <w:highlight w:val="none"/>
        </w:rPr>
        <w:fldChar w:fldCharType="end"/>
      </w:r>
    </w:p>
    <w:p>
      <w:pPr>
        <w:pStyle w:val="18"/>
        <w:keepNext w:val="0"/>
        <w:keepLines w:val="0"/>
        <w:pageBreakBefore w:val="0"/>
        <w:widowControl w:val="0"/>
        <w:tabs>
          <w:tab w:val="right" w:leader="dot" w:pos="8959"/>
        </w:tabs>
        <w:kinsoku/>
        <w:wordWrap/>
        <w:overflowPunct/>
        <w:topLinePunct w:val="0"/>
        <w:autoSpaceDE/>
        <w:autoSpaceDN/>
        <w:bidi w:val="0"/>
        <w:adjustRightInd/>
        <w:snapToGrid/>
        <w:spacing w:line="360" w:lineRule="auto"/>
        <w:textAlignment w:val="auto"/>
        <w:rPr>
          <w:sz w:val="28"/>
          <w:szCs w:val="28"/>
          <w:highlight w:val="none"/>
        </w:rPr>
      </w:pPr>
      <w:r>
        <w:rPr>
          <w:rFonts w:hint="eastAsia"/>
          <w:sz w:val="28"/>
          <w:szCs w:val="28"/>
          <w:highlight w:val="none"/>
        </w:rPr>
        <w:fldChar w:fldCharType="begin"/>
      </w:r>
      <w:r>
        <w:rPr>
          <w:rFonts w:hint="eastAsia"/>
          <w:sz w:val="28"/>
          <w:szCs w:val="28"/>
          <w:highlight w:val="none"/>
        </w:rPr>
        <w:instrText xml:space="preserve"> HYPERLINK \l _Toc29169 </w:instrText>
      </w:r>
      <w:r>
        <w:rPr>
          <w:rFonts w:hint="eastAsia"/>
          <w:sz w:val="28"/>
          <w:szCs w:val="28"/>
          <w:highlight w:val="none"/>
        </w:rPr>
        <w:fldChar w:fldCharType="separate"/>
      </w:r>
      <w:r>
        <w:rPr>
          <w:rFonts w:hint="eastAsia"/>
          <w:sz w:val="28"/>
          <w:szCs w:val="28"/>
          <w:highlight w:val="none"/>
        </w:rPr>
        <w:t>第四章  供应商应当提供的资格、资质性及其他类似效力要求的相关证明材料</w:t>
      </w:r>
      <w:r>
        <w:rPr>
          <w:sz w:val="28"/>
          <w:szCs w:val="28"/>
          <w:highlight w:val="none"/>
        </w:rPr>
        <w:tab/>
      </w:r>
      <w:r>
        <w:rPr>
          <w:sz w:val="28"/>
          <w:szCs w:val="28"/>
          <w:highlight w:val="none"/>
        </w:rPr>
        <w:fldChar w:fldCharType="begin"/>
      </w:r>
      <w:r>
        <w:rPr>
          <w:sz w:val="28"/>
          <w:szCs w:val="28"/>
          <w:highlight w:val="none"/>
        </w:rPr>
        <w:instrText xml:space="preserve"> PAGEREF _Toc29169 </w:instrText>
      </w:r>
      <w:r>
        <w:rPr>
          <w:sz w:val="28"/>
          <w:szCs w:val="28"/>
          <w:highlight w:val="none"/>
        </w:rPr>
        <w:fldChar w:fldCharType="separate"/>
      </w:r>
      <w:r>
        <w:rPr>
          <w:sz w:val="28"/>
          <w:szCs w:val="28"/>
          <w:highlight w:val="none"/>
        </w:rPr>
        <w:t>29</w:t>
      </w:r>
      <w:r>
        <w:rPr>
          <w:sz w:val="28"/>
          <w:szCs w:val="28"/>
          <w:highlight w:val="none"/>
        </w:rPr>
        <w:fldChar w:fldCharType="end"/>
      </w:r>
      <w:r>
        <w:rPr>
          <w:rFonts w:hint="eastAsia"/>
          <w:sz w:val="28"/>
          <w:szCs w:val="28"/>
          <w:highlight w:val="none"/>
        </w:rPr>
        <w:fldChar w:fldCharType="end"/>
      </w:r>
    </w:p>
    <w:p>
      <w:pPr>
        <w:pStyle w:val="18"/>
        <w:keepNext w:val="0"/>
        <w:keepLines w:val="0"/>
        <w:pageBreakBefore w:val="0"/>
        <w:widowControl w:val="0"/>
        <w:tabs>
          <w:tab w:val="right" w:leader="dot" w:pos="8959"/>
        </w:tabs>
        <w:kinsoku/>
        <w:wordWrap/>
        <w:overflowPunct/>
        <w:topLinePunct w:val="0"/>
        <w:autoSpaceDE/>
        <w:autoSpaceDN/>
        <w:bidi w:val="0"/>
        <w:adjustRightInd/>
        <w:snapToGrid/>
        <w:spacing w:line="360" w:lineRule="auto"/>
        <w:textAlignment w:val="auto"/>
        <w:rPr>
          <w:sz w:val="28"/>
          <w:szCs w:val="28"/>
          <w:highlight w:val="none"/>
        </w:rPr>
      </w:pPr>
      <w:r>
        <w:rPr>
          <w:rFonts w:hint="eastAsia"/>
          <w:sz w:val="28"/>
          <w:szCs w:val="28"/>
          <w:highlight w:val="none"/>
        </w:rPr>
        <w:fldChar w:fldCharType="begin"/>
      </w:r>
      <w:r>
        <w:rPr>
          <w:rFonts w:hint="eastAsia"/>
          <w:sz w:val="28"/>
          <w:szCs w:val="28"/>
          <w:highlight w:val="none"/>
        </w:rPr>
        <w:instrText xml:space="preserve"> HYPERLINK \l _Toc26776 </w:instrText>
      </w:r>
      <w:r>
        <w:rPr>
          <w:rFonts w:hint="eastAsia"/>
          <w:sz w:val="28"/>
          <w:szCs w:val="28"/>
          <w:highlight w:val="none"/>
        </w:rPr>
        <w:fldChar w:fldCharType="separate"/>
      </w:r>
      <w:r>
        <w:rPr>
          <w:rFonts w:hint="eastAsia"/>
          <w:sz w:val="28"/>
          <w:szCs w:val="28"/>
          <w:highlight w:val="none"/>
        </w:rPr>
        <w:t>第五章  比选项目商务</w:t>
      </w:r>
      <w:r>
        <w:rPr>
          <w:rFonts w:hint="eastAsia"/>
          <w:sz w:val="28"/>
          <w:szCs w:val="28"/>
          <w:highlight w:val="none"/>
          <w:lang w:eastAsia="zh-CN"/>
        </w:rPr>
        <w:t>、服务</w:t>
      </w:r>
      <w:r>
        <w:rPr>
          <w:rFonts w:hint="eastAsia"/>
          <w:sz w:val="28"/>
          <w:szCs w:val="28"/>
          <w:highlight w:val="none"/>
        </w:rPr>
        <w:t>及其他要求</w:t>
      </w:r>
      <w:r>
        <w:rPr>
          <w:sz w:val="28"/>
          <w:szCs w:val="28"/>
          <w:highlight w:val="none"/>
        </w:rPr>
        <w:tab/>
      </w:r>
      <w:r>
        <w:rPr>
          <w:sz w:val="28"/>
          <w:szCs w:val="28"/>
          <w:highlight w:val="none"/>
        </w:rPr>
        <w:fldChar w:fldCharType="begin"/>
      </w:r>
      <w:r>
        <w:rPr>
          <w:sz w:val="28"/>
          <w:szCs w:val="28"/>
          <w:highlight w:val="none"/>
        </w:rPr>
        <w:instrText xml:space="preserve"> PAGEREF _Toc26776 </w:instrText>
      </w:r>
      <w:r>
        <w:rPr>
          <w:sz w:val="28"/>
          <w:szCs w:val="28"/>
          <w:highlight w:val="none"/>
        </w:rPr>
        <w:fldChar w:fldCharType="separate"/>
      </w:r>
      <w:r>
        <w:rPr>
          <w:sz w:val="28"/>
          <w:szCs w:val="28"/>
          <w:highlight w:val="none"/>
        </w:rPr>
        <w:t>31</w:t>
      </w:r>
      <w:r>
        <w:rPr>
          <w:sz w:val="28"/>
          <w:szCs w:val="28"/>
          <w:highlight w:val="none"/>
        </w:rPr>
        <w:fldChar w:fldCharType="end"/>
      </w:r>
      <w:r>
        <w:rPr>
          <w:rFonts w:hint="eastAsia"/>
          <w:sz w:val="28"/>
          <w:szCs w:val="28"/>
          <w:highlight w:val="none"/>
        </w:rPr>
        <w:fldChar w:fldCharType="end"/>
      </w:r>
    </w:p>
    <w:p>
      <w:pPr>
        <w:pStyle w:val="18"/>
        <w:keepNext w:val="0"/>
        <w:keepLines w:val="0"/>
        <w:pageBreakBefore w:val="0"/>
        <w:widowControl w:val="0"/>
        <w:tabs>
          <w:tab w:val="right" w:leader="dot" w:pos="8959"/>
        </w:tabs>
        <w:kinsoku/>
        <w:wordWrap/>
        <w:overflowPunct/>
        <w:topLinePunct w:val="0"/>
        <w:autoSpaceDE/>
        <w:autoSpaceDN/>
        <w:bidi w:val="0"/>
        <w:adjustRightInd/>
        <w:snapToGrid/>
        <w:spacing w:line="360" w:lineRule="auto"/>
        <w:textAlignment w:val="auto"/>
        <w:rPr>
          <w:rFonts w:hint="eastAsia" w:eastAsia="宋体"/>
          <w:sz w:val="28"/>
          <w:szCs w:val="28"/>
          <w:highlight w:val="none"/>
          <w:lang w:val="en-US" w:eastAsia="zh-CN"/>
        </w:rPr>
      </w:pPr>
      <w:r>
        <w:rPr>
          <w:rFonts w:hint="eastAsia"/>
          <w:sz w:val="28"/>
          <w:szCs w:val="28"/>
          <w:highlight w:val="none"/>
        </w:rPr>
        <w:fldChar w:fldCharType="begin"/>
      </w:r>
      <w:r>
        <w:rPr>
          <w:rFonts w:hint="eastAsia"/>
          <w:sz w:val="28"/>
          <w:szCs w:val="28"/>
          <w:highlight w:val="none"/>
        </w:rPr>
        <w:instrText xml:space="preserve"> HYPERLINK \l _Toc22254 </w:instrText>
      </w:r>
      <w:r>
        <w:rPr>
          <w:rFonts w:hint="eastAsia"/>
          <w:sz w:val="28"/>
          <w:szCs w:val="28"/>
          <w:highlight w:val="none"/>
        </w:rPr>
        <w:fldChar w:fldCharType="separate"/>
      </w:r>
      <w:r>
        <w:rPr>
          <w:rFonts w:hint="eastAsia" w:ascii="宋体"/>
          <w:sz w:val="28"/>
          <w:szCs w:val="28"/>
          <w:highlight w:val="none"/>
        </w:rPr>
        <w:t>第六章  评标办法</w:t>
      </w:r>
      <w:bookmarkStart w:id="2" w:name="_Hlt53147053"/>
      <w:r>
        <w:rPr>
          <w:sz w:val="28"/>
          <w:szCs w:val="28"/>
          <w:highlight w:val="none"/>
        </w:rPr>
        <w:tab/>
      </w:r>
      <w:bookmarkEnd w:id="2"/>
      <w:r>
        <w:rPr>
          <w:rFonts w:hint="eastAsia"/>
          <w:sz w:val="28"/>
          <w:szCs w:val="28"/>
          <w:highlight w:val="none"/>
          <w:lang w:val="en-US" w:eastAsia="zh-CN"/>
        </w:rPr>
        <w:t>3</w:t>
      </w:r>
      <w:r>
        <w:rPr>
          <w:rFonts w:hint="eastAsia"/>
          <w:sz w:val="28"/>
          <w:szCs w:val="28"/>
          <w:highlight w:val="none"/>
        </w:rPr>
        <w:fldChar w:fldCharType="end"/>
      </w:r>
      <w:r>
        <w:rPr>
          <w:rFonts w:hint="eastAsia"/>
          <w:sz w:val="28"/>
          <w:szCs w:val="28"/>
          <w:highlight w:val="none"/>
          <w:lang w:val="en-US" w:eastAsia="zh-CN"/>
        </w:rPr>
        <w:t>2</w:t>
      </w:r>
    </w:p>
    <w:p>
      <w:pPr>
        <w:pStyle w:val="18"/>
        <w:keepNext w:val="0"/>
        <w:keepLines w:val="0"/>
        <w:pageBreakBefore w:val="0"/>
        <w:widowControl w:val="0"/>
        <w:tabs>
          <w:tab w:val="right" w:leader="dot" w:pos="8959"/>
        </w:tabs>
        <w:kinsoku/>
        <w:wordWrap/>
        <w:overflowPunct/>
        <w:topLinePunct w:val="0"/>
        <w:autoSpaceDE/>
        <w:autoSpaceDN/>
        <w:bidi w:val="0"/>
        <w:adjustRightInd/>
        <w:snapToGrid/>
        <w:spacing w:line="360" w:lineRule="auto"/>
        <w:textAlignment w:val="auto"/>
        <w:rPr>
          <w:sz w:val="28"/>
          <w:szCs w:val="28"/>
          <w:highlight w:val="none"/>
        </w:rPr>
      </w:pPr>
      <w:r>
        <w:rPr>
          <w:rFonts w:hint="eastAsia"/>
          <w:sz w:val="28"/>
          <w:szCs w:val="28"/>
          <w:highlight w:val="none"/>
        </w:rPr>
        <w:fldChar w:fldCharType="begin"/>
      </w:r>
      <w:r>
        <w:rPr>
          <w:rFonts w:hint="eastAsia"/>
          <w:sz w:val="28"/>
          <w:szCs w:val="28"/>
          <w:highlight w:val="none"/>
        </w:rPr>
        <w:instrText xml:space="preserve"> HYPERLINK \l _Toc2940 </w:instrText>
      </w:r>
      <w:r>
        <w:rPr>
          <w:rFonts w:hint="eastAsia"/>
          <w:sz w:val="28"/>
          <w:szCs w:val="28"/>
          <w:highlight w:val="none"/>
        </w:rPr>
        <w:fldChar w:fldCharType="separate"/>
      </w:r>
      <w:r>
        <w:rPr>
          <w:rFonts w:hint="eastAsia"/>
          <w:sz w:val="28"/>
          <w:szCs w:val="28"/>
          <w:highlight w:val="none"/>
        </w:rPr>
        <w:t>第七章  采购合同（样例）</w:t>
      </w:r>
      <w:r>
        <w:rPr>
          <w:sz w:val="28"/>
          <w:szCs w:val="28"/>
          <w:highlight w:val="none"/>
        </w:rPr>
        <w:tab/>
      </w:r>
      <w:r>
        <w:rPr>
          <w:sz w:val="28"/>
          <w:szCs w:val="28"/>
          <w:highlight w:val="none"/>
        </w:rPr>
        <w:fldChar w:fldCharType="begin"/>
      </w:r>
      <w:r>
        <w:rPr>
          <w:sz w:val="28"/>
          <w:szCs w:val="28"/>
          <w:highlight w:val="none"/>
        </w:rPr>
        <w:instrText xml:space="preserve"> PAGEREF _Toc2940 </w:instrText>
      </w:r>
      <w:r>
        <w:rPr>
          <w:sz w:val="28"/>
          <w:szCs w:val="28"/>
          <w:highlight w:val="none"/>
        </w:rPr>
        <w:fldChar w:fldCharType="separate"/>
      </w:r>
      <w:r>
        <w:rPr>
          <w:sz w:val="28"/>
          <w:szCs w:val="28"/>
          <w:highlight w:val="none"/>
        </w:rPr>
        <w:t>4</w:t>
      </w:r>
      <w:r>
        <w:rPr>
          <w:rFonts w:hint="eastAsia"/>
          <w:sz w:val="28"/>
          <w:szCs w:val="28"/>
          <w:highlight w:val="none"/>
          <w:lang w:val="en-US" w:eastAsia="zh-CN"/>
        </w:rPr>
        <w:t>2</w:t>
      </w:r>
      <w:r>
        <w:rPr>
          <w:sz w:val="28"/>
          <w:szCs w:val="28"/>
          <w:highlight w:val="none"/>
        </w:rPr>
        <w:fldChar w:fldCharType="end"/>
      </w:r>
      <w:r>
        <w:rPr>
          <w:rFonts w:hint="eastAsia"/>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highlight w:val="none"/>
        </w:rPr>
      </w:pPr>
      <w:r>
        <w:rPr>
          <w:rFonts w:hint="eastAsia"/>
          <w:sz w:val="28"/>
          <w:szCs w:val="28"/>
          <w:highlight w:val="none"/>
        </w:rPr>
        <w:fldChar w:fldCharType="end"/>
      </w:r>
    </w:p>
    <w:p>
      <w:pPr>
        <w:ind w:firstLine="480" w:firstLineChars="200"/>
        <w:rPr>
          <w:rFonts w:hint="eastAsia" w:ascii="宋体"/>
          <w:bCs/>
          <w:sz w:val="24"/>
          <w:highlight w:val="none"/>
        </w:rPr>
      </w:pPr>
    </w:p>
    <w:p>
      <w:pPr>
        <w:ind w:firstLine="480" w:firstLineChars="200"/>
        <w:rPr>
          <w:rFonts w:hint="eastAsia" w:ascii="宋体"/>
          <w:bCs/>
          <w:sz w:val="24"/>
          <w:highlight w:val="none"/>
        </w:rPr>
      </w:pPr>
    </w:p>
    <w:p>
      <w:pPr>
        <w:ind w:firstLine="480" w:firstLineChars="200"/>
        <w:rPr>
          <w:rFonts w:hint="eastAsia" w:ascii="宋体"/>
          <w:bCs/>
          <w:sz w:val="24"/>
          <w:highlight w:val="none"/>
        </w:rPr>
      </w:pPr>
    </w:p>
    <w:p>
      <w:pPr>
        <w:ind w:firstLine="480" w:firstLineChars="200"/>
        <w:rPr>
          <w:rFonts w:hint="eastAsia" w:ascii="宋体"/>
          <w:bCs/>
          <w:sz w:val="24"/>
          <w:highlight w:val="none"/>
        </w:rPr>
      </w:pPr>
    </w:p>
    <w:p>
      <w:pPr>
        <w:ind w:firstLine="480" w:firstLineChars="200"/>
        <w:rPr>
          <w:rFonts w:hint="eastAsia" w:ascii="宋体"/>
          <w:bCs/>
          <w:sz w:val="24"/>
          <w:highlight w:val="none"/>
        </w:rPr>
      </w:pPr>
    </w:p>
    <w:p>
      <w:pPr>
        <w:ind w:firstLine="480" w:firstLineChars="200"/>
        <w:rPr>
          <w:rFonts w:hint="eastAsia" w:ascii="宋体"/>
          <w:bCs/>
          <w:sz w:val="24"/>
          <w:highlight w:val="none"/>
        </w:rPr>
      </w:pPr>
    </w:p>
    <w:p>
      <w:pPr>
        <w:pStyle w:val="4"/>
        <w:jc w:val="center"/>
        <w:rPr>
          <w:rFonts w:hint="eastAsia"/>
          <w:sz w:val="36"/>
          <w:szCs w:val="36"/>
          <w:highlight w:val="none"/>
        </w:rPr>
      </w:pPr>
      <w:r>
        <w:rPr>
          <w:rFonts w:hint="eastAsia"/>
          <w:sz w:val="36"/>
          <w:szCs w:val="36"/>
          <w:highlight w:val="none"/>
        </w:rPr>
        <w:br w:type="page"/>
      </w:r>
      <w:bookmarkStart w:id="3" w:name="_Toc12497"/>
      <w:bookmarkStart w:id="4" w:name="_Toc29442"/>
      <w:bookmarkStart w:id="5" w:name="_Toc217446031"/>
      <w:bookmarkStart w:id="6" w:name="_Toc213496267"/>
      <w:bookmarkStart w:id="7" w:name="_Toc213397009"/>
      <w:bookmarkStart w:id="8" w:name="_Toc213396759"/>
      <w:bookmarkStart w:id="9" w:name="_Toc213396945"/>
      <w:r>
        <w:rPr>
          <w:rFonts w:hint="eastAsia"/>
          <w:sz w:val="36"/>
          <w:szCs w:val="36"/>
          <w:highlight w:val="none"/>
        </w:rPr>
        <w:t xml:space="preserve">第一章  </w:t>
      </w:r>
      <w:bookmarkEnd w:id="3"/>
      <w:r>
        <w:rPr>
          <w:rFonts w:hint="eastAsia"/>
          <w:sz w:val="36"/>
          <w:szCs w:val="36"/>
          <w:highlight w:val="none"/>
        </w:rPr>
        <w:t>比选申请人须知</w:t>
      </w:r>
      <w:bookmarkEnd w:id="4"/>
    </w:p>
    <w:p>
      <w:pPr>
        <w:pStyle w:val="5"/>
        <w:spacing w:line="240" w:lineRule="atLeast"/>
        <w:jc w:val="center"/>
        <w:rPr>
          <w:rFonts w:hint="eastAsia"/>
          <w:highlight w:val="none"/>
        </w:rPr>
      </w:pPr>
      <w:r>
        <w:rPr>
          <w:rFonts w:hint="eastAsia"/>
          <w:highlight w:val="none"/>
        </w:rPr>
        <w:t>一、供应商须知附表</w:t>
      </w:r>
    </w:p>
    <w:bookmarkEnd w:id="5"/>
    <w:bookmarkEnd w:id="6"/>
    <w:bookmarkEnd w:id="7"/>
    <w:bookmarkEnd w:id="8"/>
    <w:bookmarkEnd w:id="9"/>
    <w:tbl>
      <w:tblPr>
        <w:tblStyle w:val="25"/>
        <w:tblW w:w="0" w:type="auto"/>
        <w:tblInd w:w="0" w:type="dxa"/>
        <w:tblLayout w:type="fixed"/>
        <w:tblCellMar>
          <w:top w:w="0" w:type="dxa"/>
          <w:left w:w="0" w:type="dxa"/>
          <w:bottom w:w="0" w:type="dxa"/>
          <w:right w:w="0" w:type="dxa"/>
        </w:tblCellMar>
      </w:tblPr>
      <w:tblGrid>
        <w:gridCol w:w="900"/>
        <w:gridCol w:w="2245"/>
        <w:gridCol w:w="6215"/>
      </w:tblGrid>
      <w:tr>
        <w:tblPrEx>
          <w:tblCellMar>
            <w:top w:w="0" w:type="dxa"/>
            <w:left w:w="0" w:type="dxa"/>
            <w:bottom w:w="0" w:type="dxa"/>
            <w:right w:w="0" w:type="dxa"/>
          </w:tblCellMar>
        </w:tblPrEx>
        <w:trPr>
          <w:trHeight w:val="331" w:hRule="atLeast"/>
          <w:tblHeader/>
        </w:trPr>
        <w:tc>
          <w:tcPr>
            <w:tcW w:w="900" w:type="dxa"/>
            <w:tcBorders>
              <w:top w:val="single" w:color="auto" w:sz="4" w:space="0"/>
              <w:left w:val="single" w:color="auto" w:sz="4" w:space="0"/>
              <w:bottom w:val="single" w:color="auto" w:sz="4" w:space="0"/>
              <w:right w:val="single" w:color="auto" w:sz="4" w:space="0"/>
            </w:tcBorders>
            <w:noWrap w:val="0"/>
            <w:vAlign w:val="center"/>
          </w:tcPr>
          <w:p>
            <w:pPr>
              <w:pStyle w:val="41"/>
              <w:ind w:left="9"/>
              <w:jc w:val="center"/>
              <w:rPr>
                <w:rFonts w:hint="eastAsia"/>
                <w:highlight w:val="none"/>
                <w:lang w:val="zh-CN"/>
              </w:rPr>
            </w:pPr>
            <w:r>
              <w:rPr>
                <w:rFonts w:hint="eastAsia"/>
                <w:highlight w:val="none"/>
                <w:lang w:val="zh-CN"/>
              </w:rPr>
              <w:t xml:space="preserve">序号 </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pStyle w:val="41"/>
              <w:ind w:left="38"/>
              <w:jc w:val="center"/>
              <w:rPr>
                <w:rFonts w:hint="eastAsia"/>
                <w:highlight w:val="none"/>
                <w:lang w:val="zh-CN"/>
              </w:rPr>
            </w:pPr>
            <w:r>
              <w:rPr>
                <w:rFonts w:hint="eastAsia"/>
                <w:highlight w:val="none"/>
                <w:lang w:val="zh-CN"/>
              </w:rPr>
              <w:t>条款名称</w:t>
            </w:r>
          </w:p>
        </w:tc>
        <w:tc>
          <w:tcPr>
            <w:tcW w:w="6215" w:type="dxa"/>
            <w:tcBorders>
              <w:top w:val="single" w:color="auto" w:sz="4" w:space="0"/>
              <w:left w:val="single" w:color="auto" w:sz="4" w:space="0"/>
              <w:bottom w:val="single" w:color="auto" w:sz="4" w:space="0"/>
              <w:right w:val="single" w:color="auto" w:sz="4" w:space="0"/>
            </w:tcBorders>
            <w:noWrap w:val="0"/>
            <w:vAlign w:val="center"/>
          </w:tcPr>
          <w:p>
            <w:pPr>
              <w:pStyle w:val="41"/>
              <w:jc w:val="center"/>
              <w:rPr>
                <w:rFonts w:hint="eastAsia"/>
                <w:highlight w:val="none"/>
                <w:lang w:val="zh-CN"/>
              </w:rPr>
            </w:pPr>
            <w:r>
              <w:rPr>
                <w:rFonts w:hint="eastAsia"/>
                <w:highlight w:val="none"/>
                <w:lang w:val="zh-CN"/>
              </w:rPr>
              <w:t>编列内容</w:t>
            </w:r>
          </w:p>
        </w:tc>
      </w:tr>
      <w:tr>
        <w:tblPrEx>
          <w:tblCellMar>
            <w:top w:w="0" w:type="dxa"/>
            <w:left w:w="0" w:type="dxa"/>
            <w:bottom w:w="0" w:type="dxa"/>
            <w:right w:w="0" w:type="dxa"/>
          </w:tblCellMar>
        </w:tblPrEx>
        <w:trPr>
          <w:trHeight w:val="20" w:hRule="atLeast"/>
        </w:trPr>
        <w:tc>
          <w:tcPr>
            <w:tcW w:w="900" w:type="dxa"/>
            <w:tcBorders>
              <w:top w:val="single" w:color="auto" w:sz="4" w:space="0"/>
              <w:left w:val="single" w:color="auto" w:sz="4" w:space="0"/>
              <w:right w:val="single" w:color="auto" w:sz="4" w:space="0"/>
            </w:tcBorders>
            <w:noWrap w:val="0"/>
            <w:vAlign w:val="center"/>
          </w:tcPr>
          <w:p>
            <w:pPr>
              <w:pStyle w:val="41"/>
              <w:ind w:right="264"/>
              <w:jc w:val="center"/>
              <w:rPr>
                <w:rFonts w:hint="eastAsia"/>
                <w:highlight w:val="none"/>
                <w:lang w:val="zh-CN"/>
              </w:rPr>
            </w:pPr>
            <w:r>
              <w:rPr>
                <w:rFonts w:hint="eastAsia"/>
                <w:highlight w:val="none"/>
              </w:rPr>
              <w:t xml:space="preserve"> </w:t>
            </w:r>
            <w:r>
              <w:rPr>
                <w:rFonts w:hint="eastAsia"/>
                <w:highlight w:val="none"/>
                <w:lang w:val="zh-CN"/>
              </w:rPr>
              <w:t>1</w:t>
            </w:r>
          </w:p>
        </w:tc>
        <w:tc>
          <w:tcPr>
            <w:tcW w:w="2245" w:type="dxa"/>
            <w:tcBorders>
              <w:top w:val="single" w:color="auto" w:sz="4" w:space="0"/>
              <w:left w:val="single" w:color="auto" w:sz="4" w:space="0"/>
              <w:right w:val="single" w:color="auto" w:sz="4" w:space="0"/>
            </w:tcBorders>
            <w:noWrap w:val="0"/>
            <w:vAlign w:val="center"/>
          </w:tcPr>
          <w:p>
            <w:pPr>
              <w:pStyle w:val="41"/>
              <w:ind w:left="38"/>
              <w:jc w:val="center"/>
              <w:rPr>
                <w:rFonts w:hint="eastAsia"/>
                <w:highlight w:val="none"/>
                <w:lang w:val="zh-CN"/>
              </w:rPr>
            </w:pPr>
            <w:r>
              <w:rPr>
                <w:rFonts w:hint="eastAsia"/>
                <w:highlight w:val="none"/>
                <w:lang w:val="zh-CN"/>
              </w:rPr>
              <w:t>比选人</w:t>
            </w:r>
          </w:p>
        </w:tc>
        <w:tc>
          <w:tcPr>
            <w:tcW w:w="6215" w:type="dxa"/>
            <w:tcBorders>
              <w:top w:val="single" w:color="auto" w:sz="4" w:space="0"/>
              <w:left w:val="single" w:color="auto" w:sz="4" w:space="0"/>
              <w:right w:val="single" w:color="auto" w:sz="4" w:space="0"/>
            </w:tcBorders>
            <w:noWrap w:val="0"/>
            <w:vAlign w:val="center"/>
          </w:tcPr>
          <w:p>
            <w:pPr>
              <w:pStyle w:val="41"/>
              <w:ind w:right="264" w:firstLine="240" w:firstLineChars="100"/>
              <w:rPr>
                <w:rFonts w:hint="eastAsia"/>
                <w:color w:val="000000"/>
                <w:highlight w:val="none"/>
                <w:lang w:val="zh-CN"/>
              </w:rPr>
            </w:pPr>
            <w:r>
              <w:rPr>
                <w:rFonts w:hint="eastAsia"/>
                <w:color w:val="000000"/>
                <w:highlight w:val="none"/>
                <w:lang w:val="zh-CN"/>
              </w:rPr>
              <w:t>1、名称：四川省文物局</w:t>
            </w:r>
          </w:p>
          <w:p>
            <w:pPr>
              <w:pStyle w:val="41"/>
              <w:ind w:firstLine="240" w:firstLineChars="100"/>
              <w:rPr>
                <w:color w:val="000000"/>
                <w:highlight w:val="none"/>
              </w:rPr>
            </w:pPr>
            <w:r>
              <w:rPr>
                <w:rFonts w:hint="eastAsia"/>
                <w:color w:val="000000"/>
                <w:highlight w:val="none"/>
                <w:lang w:val="zh-CN"/>
              </w:rPr>
              <w:t>2、地址：</w:t>
            </w:r>
            <w:r>
              <w:rPr>
                <w:rFonts w:hint="eastAsia"/>
                <w:highlight w:val="none"/>
                <w:lang w:val="zh-CN"/>
              </w:rPr>
              <w:t>成都市青羊区东胜街</w:t>
            </w:r>
            <w:r>
              <w:rPr>
                <w:rFonts w:hint="eastAsia"/>
                <w:highlight w:val="none"/>
                <w:lang w:val="en-US" w:eastAsia="zh-CN"/>
              </w:rPr>
              <w:t>19号</w:t>
            </w:r>
          </w:p>
          <w:p>
            <w:pPr>
              <w:pStyle w:val="41"/>
              <w:ind w:firstLine="240" w:firstLineChars="100"/>
              <w:rPr>
                <w:rFonts w:hint="eastAsia"/>
                <w:color w:val="000000"/>
                <w:highlight w:val="none"/>
                <w:lang w:val="zh-CN"/>
              </w:rPr>
            </w:pPr>
            <w:r>
              <w:rPr>
                <w:rFonts w:hint="eastAsia"/>
                <w:color w:val="000000"/>
                <w:highlight w:val="none"/>
                <w:lang w:val="zh-CN"/>
              </w:rPr>
              <w:t>3、联系人：刘老师</w:t>
            </w:r>
          </w:p>
          <w:p>
            <w:pPr>
              <w:pStyle w:val="41"/>
              <w:ind w:firstLine="240" w:firstLineChars="100"/>
              <w:rPr>
                <w:rFonts w:hint="default" w:eastAsia="宋体"/>
                <w:highlight w:val="none"/>
                <w:lang w:val="en-US" w:eastAsia="zh-CN"/>
              </w:rPr>
            </w:pPr>
            <w:r>
              <w:rPr>
                <w:rFonts w:hint="eastAsia"/>
                <w:color w:val="000000"/>
                <w:highlight w:val="none"/>
                <w:lang w:val="zh-CN"/>
              </w:rPr>
              <w:t>4、电话：028-</w:t>
            </w:r>
            <w:r>
              <w:rPr>
                <w:rFonts w:hint="eastAsia"/>
                <w:color w:val="000000"/>
                <w:highlight w:val="none"/>
                <w:lang w:val="en-US" w:eastAsia="zh-CN"/>
              </w:rPr>
              <w:t>86120282</w:t>
            </w:r>
          </w:p>
        </w:tc>
      </w:tr>
      <w:tr>
        <w:tblPrEx>
          <w:tblCellMar>
            <w:top w:w="0" w:type="dxa"/>
            <w:left w:w="0" w:type="dxa"/>
            <w:bottom w:w="0" w:type="dxa"/>
            <w:right w:w="0" w:type="dxa"/>
          </w:tblCellMar>
        </w:tblPrEx>
        <w:trPr>
          <w:trHeight w:val="20" w:hRule="atLeast"/>
        </w:trPr>
        <w:tc>
          <w:tcPr>
            <w:tcW w:w="900" w:type="dxa"/>
            <w:tcBorders>
              <w:top w:val="single" w:color="auto" w:sz="4" w:space="0"/>
              <w:left w:val="single" w:color="auto" w:sz="4" w:space="0"/>
              <w:right w:val="single" w:color="auto" w:sz="4" w:space="0"/>
            </w:tcBorders>
            <w:noWrap w:val="0"/>
            <w:vAlign w:val="center"/>
          </w:tcPr>
          <w:p>
            <w:pPr>
              <w:pStyle w:val="41"/>
              <w:ind w:right="264"/>
              <w:jc w:val="center"/>
              <w:rPr>
                <w:rFonts w:hint="eastAsia"/>
                <w:highlight w:val="none"/>
              </w:rPr>
            </w:pPr>
            <w:r>
              <w:rPr>
                <w:rFonts w:hint="eastAsia"/>
                <w:highlight w:val="none"/>
              </w:rPr>
              <w:t xml:space="preserve"> 2</w:t>
            </w:r>
          </w:p>
        </w:tc>
        <w:tc>
          <w:tcPr>
            <w:tcW w:w="2245" w:type="dxa"/>
            <w:tcBorders>
              <w:top w:val="single" w:color="auto" w:sz="4" w:space="0"/>
              <w:left w:val="single" w:color="auto" w:sz="4" w:space="0"/>
              <w:right w:val="single" w:color="auto" w:sz="4" w:space="0"/>
            </w:tcBorders>
            <w:noWrap w:val="0"/>
            <w:vAlign w:val="center"/>
          </w:tcPr>
          <w:p>
            <w:pPr>
              <w:pStyle w:val="41"/>
              <w:ind w:left="38"/>
              <w:jc w:val="center"/>
              <w:rPr>
                <w:rFonts w:hint="eastAsia"/>
                <w:highlight w:val="none"/>
                <w:lang w:val="zh-CN"/>
              </w:rPr>
            </w:pPr>
            <w:r>
              <w:rPr>
                <w:rFonts w:hint="eastAsia"/>
                <w:highlight w:val="none"/>
                <w:lang w:val="zh-CN"/>
              </w:rPr>
              <w:t>项目名称</w:t>
            </w:r>
          </w:p>
        </w:tc>
        <w:tc>
          <w:tcPr>
            <w:tcW w:w="621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四川省</w:t>
            </w:r>
            <w:r>
              <w:rPr>
                <w:rFonts w:hint="eastAsia" w:ascii="宋体" w:hAnsi="宋体" w:cs="宋体"/>
                <w:color w:val="auto"/>
                <w:sz w:val="24"/>
                <w:highlight w:val="none"/>
                <w:lang w:eastAsia="zh-CN"/>
              </w:rPr>
              <w:t>文物局研究设立四川省文物保护标准化技术委员会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服务项目</w:t>
            </w:r>
          </w:p>
        </w:tc>
      </w:tr>
      <w:tr>
        <w:tblPrEx>
          <w:tblCellMar>
            <w:top w:w="0" w:type="dxa"/>
            <w:left w:w="0" w:type="dxa"/>
            <w:bottom w:w="0" w:type="dxa"/>
            <w:right w:w="0" w:type="dxa"/>
          </w:tblCellMar>
        </w:tblPrEx>
        <w:trPr>
          <w:trHeight w:val="20" w:hRule="atLeast"/>
        </w:trPr>
        <w:tc>
          <w:tcPr>
            <w:tcW w:w="900" w:type="dxa"/>
            <w:tcBorders>
              <w:top w:val="single" w:color="auto" w:sz="4" w:space="0"/>
              <w:left w:val="single" w:color="auto" w:sz="4" w:space="0"/>
              <w:right w:val="single" w:color="auto" w:sz="4" w:space="0"/>
            </w:tcBorders>
            <w:noWrap w:val="0"/>
            <w:vAlign w:val="center"/>
          </w:tcPr>
          <w:p>
            <w:pPr>
              <w:pStyle w:val="41"/>
              <w:ind w:right="264"/>
              <w:jc w:val="center"/>
              <w:rPr>
                <w:rFonts w:hint="eastAsia"/>
                <w:highlight w:val="none"/>
              </w:rPr>
            </w:pPr>
            <w:r>
              <w:rPr>
                <w:rFonts w:hint="eastAsia"/>
                <w:highlight w:val="none"/>
              </w:rPr>
              <w:t xml:space="preserve"> 3</w:t>
            </w:r>
          </w:p>
        </w:tc>
        <w:tc>
          <w:tcPr>
            <w:tcW w:w="2245" w:type="dxa"/>
            <w:tcBorders>
              <w:top w:val="single" w:color="auto" w:sz="4" w:space="0"/>
              <w:left w:val="single" w:color="auto" w:sz="4" w:space="0"/>
              <w:right w:val="single" w:color="auto" w:sz="4" w:space="0"/>
            </w:tcBorders>
            <w:noWrap w:val="0"/>
            <w:vAlign w:val="center"/>
          </w:tcPr>
          <w:p>
            <w:pPr>
              <w:pStyle w:val="41"/>
              <w:ind w:left="38"/>
              <w:jc w:val="center"/>
              <w:rPr>
                <w:rFonts w:hint="eastAsia"/>
                <w:highlight w:val="none"/>
                <w:lang w:val="zh-CN"/>
              </w:rPr>
            </w:pPr>
            <w:r>
              <w:rPr>
                <w:rFonts w:hint="eastAsia"/>
                <w:highlight w:val="none"/>
                <w:lang w:val="zh-CN"/>
              </w:rPr>
              <w:t>预算金额</w:t>
            </w:r>
          </w:p>
        </w:tc>
        <w:tc>
          <w:tcPr>
            <w:tcW w:w="6215" w:type="dxa"/>
            <w:tcBorders>
              <w:top w:val="single" w:color="auto" w:sz="4" w:space="0"/>
              <w:left w:val="single" w:color="auto" w:sz="4" w:space="0"/>
              <w:right w:val="single" w:color="auto" w:sz="4" w:space="0"/>
            </w:tcBorders>
            <w:noWrap w:val="0"/>
            <w:vAlign w:val="center"/>
          </w:tcPr>
          <w:p>
            <w:pPr>
              <w:pStyle w:val="41"/>
              <w:ind w:firstLine="240" w:firstLineChars="100"/>
              <w:jc w:val="center"/>
              <w:rPr>
                <w:rFonts w:hint="eastAsia"/>
                <w:color w:val="FF0000"/>
                <w:highlight w:val="none"/>
              </w:rPr>
            </w:pPr>
            <w:r>
              <w:rPr>
                <w:rFonts w:hint="eastAsia"/>
                <w:color w:val="auto"/>
                <w:highlight w:val="none"/>
                <w:lang w:val="en-US" w:eastAsia="zh-CN"/>
              </w:rPr>
              <w:t>10</w:t>
            </w:r>
            <w:r>
              <w:rPr>
                <w:rFonts w:hint="eastAsia"/>
                <w:color w:val="auto"/>
                <w:highlight w:val="none"/>
              </w:rPr>
              <w:t>万元</w:t>
            </w:r>
          </w:p>
        </w:tc>
      </w:tr>
      <w:tr>
        <w:tblPrEx>
          <w:tblCellMar>
            <w:top w:w="0" w:type="dxa"/>
            <w:left w:w="0" w:type="dxa"/>
            <w:bottom w:w="0" w:type="dxa"/>
            <w:right w:w="0" w:type="dxa"/>
          </w:tblCellMar>
        </w:tblPrEx>
        <w:trPr>
          <w:trHeight w:val="160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pStyle w:val="41"/>
              <w:ind w:right="264"/>
              <w:jc w:val="center"/>
              <w:rPr>
                <w:rFonts w:hint="eastAsia"/>
                <w:highlight w:val="none"/>
              </w:rPr>
            </w:pPr>
            <w:r>
              <w:rPr>
                <w:rFonts w:hint="eastAsia"/>
                <w:highlight w:val="none"/>
              </w:rPr>
              <w:t xml:space="preserve"> 4</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pStyle w:val="41"/>
              <w:ind w:left="38"/>
              <w:jc w:val="center"/>
              <w:rPr>
                <w:rFonts w:hint="eastAsia"/>
                <w:highlight w:val="none"/>
                <w:lang w:val="zh-CN"/>
              </w:rPr>
            </w:pPr>
            <w:r>
              <w:rPr>
                <w:rFonts w:hint="eastAsia"/>
                <w:highlight w:val="none"/>
                <w:lang w:val="zh-CN"/>
              </w:rPr>
              <w:t>比选内容</w:t>
            </w:r>
          </w:p>
        </w:tc>
        <w:tc>
          <w:tcPr>
            <w:tcW w:w="6215" w:type="dxa"/>
            <w:tcBorders>
              <w:top w:val="single" w:color="auto" w:sz="4" w:space="0"/>
              <w:left w:val="single" w:color="auto" w:sz="4" w:space="0"/>
              <w:bottom w:val="single" w:color="auto" w:sz="4" w:space="0"/>
              <w:right w:val="single" w:color="auto" w:sz="4" w:space="0"/>
            </w:tcBorders>
            <w:noWrap w:val="0"/>
            <w:vAlign w:val="top"/>
          </w:tcPr>
          <w:p>
            <w:pPr>
              <w:widowControl/>
              <w:ind w:firstLine="240" w:firstLineChars="100"/>
              <w:jc w:val="left"/>
              <w:rPr>
                <w:rFonts w:hint="eastAsia" w:ascii="宋体" w:hAnsi="宋体" w:cs="Arial"/>
                <w:kern w:val="0"/>
                <w:sz w:val="24"/>
                <w:highlight w:val="none"/>
              </w:rPr>
            </w:pPr>
            <w:r>
              <w:rPr>
                <w:rFonts w:hint="eastAsia" w:ascii="宋体" w:hAnsi="宋体" w:cs="Arial"/>
                <w:kern w:val="0"/>
                <w:sz w:val="24"/>
                <w:highlight w:val="none"/>
              </w:rPr>
              <w:t>1.四川省文物保护标准化技术委员会设立必要性研究。</w:t>
            </w:r>
          </w:p>
          <w:p>
            <w:pPr>
              <w:widowControl/>
              <w:ind w:firstLine="240" w:firstLineChars="100"/>
              <w:jc w:val="left"/>
              <w:rPr>
                <w:rFonts w:hint="eastAsia" w:ascii="宋体" w:hAnsi="宋体" w:cs="Arial"/>
                <w:kern w:val="0"/>
                <w:sz w:val="24"/>
                <w:highlight w:val="none"/>
              </w:rPr>
            </w:pPr>
            <w:r>
              <w:rPr>
                <w:rFonts w:hint="eastAsia" w:ascii="宋体" w:hAnsi="宋体" w:cs="Arial"/>
                <w:kern w:val="0"/>
                <w:sz w:val="24"/>
                <w:highlight w:val="none"/>
              </w:rPr>
              <w:t>2.四川省文物保护标准体系研究及工作方案。</w:t>
            </w:r>
          </w:p>
          <w:p>
            <w:pPr>
              <w:widowControl/>
              <w:ind w:firstLine="240" w:firstLineChars="100"/>
              <w:jc w:val="left"/>
              <w:rPr>
                <w:rFonts w:hint="eastAsia" w:ascii="宋体" w:hAnsi="宋体" w:cs="Arial"/>
                <w:kern w:val="0"/>
                <w:sz w:val="24"/>
                <w:highlight w:val="none"/>
              </w:rPr>
            </w:pPr>
            <w:r>
              <w:rPr>
                <w:rFonts w:hint="eastAsia" w:ascii="宋体" w:hAnsi="宋体" w:cs="Arial"/>
                <w:kern w:val="0"/>
                <w:sz w:val="24"/>
                <w:highlight w:val="none"/>
              </w:rPr>
              <w:t>3.四川省文物保护标准化技术委员会初步组成方案研究。</w:t>
            </w:r>
          </w:p>
          <w:p>
            <w:pPr>
              <w:widowControl/>
              <w:ind w:firstLine="240" w:firstLineChars="100"/>
              <w:jc w:val="left"/>
              <w:rPr>
                <w:rFonts w:hint="eastAsia" w:ascii="宋体" w:hAnsi="宋体" w:cs="Arial"/>
                <w:kern w:val="0"/>
                <w:sz w:val="24"/>
                <w:highlight w:val="none"/>
              </w:rPr>
            </w:pPr>
            <w:r>
              <w:rPr>
                <w:rFonts w:hint="eastAsia" w:ascii="宋体" w:hAnsi="宋体" w:cs="Arial"/>
                <w:kern w:val="0"/>
                <w:sz w:val="24"/>
                <w:highlight w:val="none"/>
              </w:rPr>
              <w:t>4.四川省文物保护标准化技术委员会章程草案、秘书处工作细则草案研究。</w:t>
            </w:r>
          </w:p>
          <w:p>
            <w:pPr>
              <w:widowControl/>
              <w:ind w:firstLine="240" w:firstLineChars="100"/>
              <w:jc w:val="left"/>
              <w:rPr>
                <w:rFonts w:hint="eastAsia" w:ascii="宋体" w:hAnsi="宋体" w:cs="宋体"/>
                <w:color w:val="FF0000"/>
                <w:sz w:val="24"/>
                <w:highlight w:val="none"/>
              </w:rPr>
            </w:pPr>
            <w:r>
              <w:rPr>
                <w:rFonts w:hint="eastAsia" w:ascii="宋体" w:hAnsi="宋体" w:cs="Arial"/>
                <w:kern w:val="0"/>
                <w:sz w:val="24"/>
                <w:highlight w:val="none"/>
              </w:rPr>
              <w:t>5.四川省文物保护标准化技术委员会工作开展计划研究。</w:t>
            </w:r>
          </w:p>
        </w:tc>
      </w:tr>
      <w:tr>
        <w:tblPrEx>
          <w:tblCellMar>
            <w:top w:w="0" w:type="dxa"/>
            <w:left w:w="0" w:type="dxa"/>
            <w:bottom w:w="0" w:type="dxa"/>
            <w:right w:w="0"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pStyle w:val="41"/>
              <w:ind w:right="264"/>
              <w:jc w:val="center"/>
              <w:rPr>
                <w:rFonts w:hint="eastAsia"/>
                <w:highlight w:val="none"/>
              </w:rPr>
            </w:pPr>
            <w:r>
              <w:rPr>
                <w:rFonts w:hint="eastAsia"/>
                <w:highlight w:val="none"/>
              </w:rPr>
              <w:t>5</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pStyle w:val="41"/>
              <w:jc w:val="center"/>
              <w:rPr>
                <w:rFonts w:hint="eastAsia"/>
                <w:highlight w:val="none"/>
                <w:lang w:val="zh-CN"/>
              </w:rPr>
            </w:pPr>
            <w:r>
              <w:rPr>
                <w:rFonts w:hint="eastAsia"/>
                <w:highlight w:val="none"/>
                <w:lang w:val="zh-CN"/>
              </w:rPr>
              <w:t>比选申请人资格要求</w:t>
            </w:r>
          </w:p>
        </w:tc>
        <w:tc>
          <w:tcPr>
            <w:tcW w:w="6215"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Arial"/>
                <w:kern w:val="0"/>
                <w:sz w:val="24"/>
                <w:highlight w:val="none"/>
              </w:rPr>
            </w:pPr>
            <w:r>
              <w:rPr>
                <w:rFonts w:hint="eastAsia" w:ascii="宋体" w:hAnsi="宋体" w:cs="Arial"/>
                <w:kern w:val="0"/>
                <w:sz w:val="24"/>
                <w:highlight w:val="none"/>
              </w:rPr>
              <w:t>1、在中华人民共和国境内注册，具有独立承担民事责任的能力;</w:t>
            </w:r>
          </w:p>
          <w:p>
            <w:pPr>
              <w:widowControl/>
              <w:ind w:firstLine="240" w:firstLineChars="100"/>
              <w:jc w:val="left"/>
              <w:rPr>
                <w:rFonts w:hint="eastAsia" w:ascii="宋体" w:hAnsi="宋体" w:cs="Arial"/>
                <w:kern w:val="0"/>
                <w:sz w:val="24"/>
                <w:highlight w:val="none"/>
              </w:rPr>
            </w:pPr>
            <w:r>
              <w:rPr>
                <w:rFonts w:hint="eastAsia" w:ascii="宋体" w:hAnsi="宋体" w:cs="Arial"/>
                <w:kern w:val="0"/>
                <w:sz w:val="24"/>
                <w:highlight w:val="none"/>
              </w:rPr>
              <w:t>2、具有良好的商业信誉和健全的财务会计制度;</w:t>
            </w:r>
          </w:p>
          <w:p>
            <w:pPr>
              <w:widowControl/>
              <w:ind w:firstLine="240" w:firstLineChars="100"/>
              <w:jc w:val="left"/>
              <w:rPr>
                <w:rFonts w:hint="eastAsia" w:ascii="宋体" w:hAnsi="宋体" w:cs="Arial"/>
                <w:kern w:val="0"/>
                <w:sz w:val="24"/>
                <w:highlight w:val="none"/>
              </w:rPr>
            </w:pPr>
            <w:r>
              <w:rPr>
                <w:rFonts w:hint="eastAsia" w:ascii="宋体" w:hAnsi="宋体" w:cs="Arial"/>
                <w:kern w:val="0"/>
                <w:sz w:val="24"/>
                <w:highlight w:val="none"/>
              </w:rPr>
              <w:t>3、具有履行合同所必须的专业团队能力;</w:t>
            </w:r>
          </w:p>
          <w:p>
            <w:pPr>
              <w:widowControl/>
              <w:ind w:firstLine="240" w:firstLineChars="100"/>
              <w:jc w:val="left"/>
              <w:rPr>
                <w:rFonts w:hint="eastAsia" w:ascii="宋体" w:hAnsi="宋体" w:cs="Arial"/>
                <w:kern w:val="0"/>
                <w:sz w:val="24"/>
                <w:highlight w:val="none"/>
              </w:rPr>
            </w:pPr>
            <w:r>
              <w:rPr>
                <w:rFonts w:hint="eastAsia" w:ascii="宋体" w:hAnsi="宋体" w:cs="Arial"/>
                <w:kern w:val="0"/>
                <w:sz w:val="24"/>
                <w:highlight w:val="none"/>
              </w:rPr>
              <w:t>4、近三年内，在经营活动中没有重大违法违规记录；</w:t>
            </w:r>
          </w:p>
        </w:tc>
      </w:tr>
      <w:tr>
        <w:tblPrEx>
          <w:tblCellMar>
            <w:top w:w="0" w:type="dxa"/>
            <w:left w:w="0" w:type="dxa"/>
            <w:bottom w:w="0" w:type="dxa"/>
            <w:right w:w="0"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pStyle w:val="41"/>
              <w:ind w:right="264"/>
              <w:jc w:val="center"/>
              <w:rPr>
                <w:rFonts w:hint="eastAsia"/>
                <w:highlight w:val="none"/>
              </w:rPr>
            </w:pPr>
            <w:r>
              <w:rPr>
                <w:rFonts w:hint="eastAsia"/>
                <w:highlight w:val="none"/>
              </w:rPr>
              <w:t>6</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pStyle w:val="41"/>
              <w:ind w:left="33"/>
              <w:jc w:val="center"/>
              <w:rPr>
                <w:rFonts w:hint="eastAsia"/>
                <w:highlight w:val="none"/>
                <w:lang w:val="zh-CN"/>
              </w:rPr>
            </w:pPr>
            <w:r>
              <w:rPr>
                <w:rFonts w:hint="eastAsia"/>
                <w:highlight w:val="none"/>
                <w:lang w:val="zh-CN"/>
              </w:rPr>
              <w:t>比选申请有效期</w:t>
            </w:r>
          </w:p>
        </w:tc>
        <w:tc>
          <w:tcPr>
            <w:tcW w:w="6215" w:type="dxa"/>
            <w:tcBorders>
              <w:top w:val="single" w:color="auto" w:sz="4" w:space="0"/>
              <w:left w:val="single" w:color="auto" w:sz="4" w:space="0"/>
              <w:bottom w:val="single" w:color="auto" w:sz="4" w:space="0"/>
              <w:right w:val="single" w:color="auto" w:sz="4" w:space="0"/>
            </w:tcBorders>
            <w:noWrap w:val="0"/>
            <w:vAlign w:val="center"/>
          </w:tcPr>
          <w:p>
            <w:pPr>
              <w:pStyle w:val="41"/>
              <w:ind w:firstLine="240" w:firstLineChars="100"/>
              <w:rPr>
                <w:rFonts w:hint="eastAsia"/>
                <w:highlight w:val="none"/>
                <w:lang w:val="zh-CN"/>
              </w:rPr>
            </w:pPr>
            <w:r>
              <w:rPr>
                <w:rFonts w:hint="eastAsia"/>
                <w:highlight w:val="none"/>
              </w:rPr>
              <w:t>9</w:t>
            </w:r>
            <w:r>
              <w:rPr>
                <w:rFonts w:hint="eastAsia"/>
                <w:highlight w:val="none"/>
                <w:lang w:val="zh-CN"/>
              </w:rPr>
              <w:t>0个日历天（自比选申请递交截止日起）</w:t>
            </w:r>
          </w:p>
        </w:tc>
      </w:tr>
      <w:tr>
        <w:tblPrEx>
          <w:tblCellMar>
            <w:top w:w="0" w:type="dxa"/>
            <w:left w:w="0" w:type="dxa"/>
            <w:bottom w:w="0" w:type="dxa"/>
            <w:right w:w="0"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pStyle w:val="41"/>
              <w:ind w:right="264"/>
              <w:jc w:val="center"/>
              <w:rPr>
                <w:rFonts w:hint="eastAsia"/>
                <w:highlight w:val="none"/>
              </w:rPr>
            </w:pPr>
            <w:r>
              <w:rPr>
                <w:rFonts w:hint="eastAsia"/>
                <w:highlight w:val="none"/>
              </w:rPr>
              <w:t>7</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pStyle w:val="41"/>
              <w:jc w:val="center"/>
              <w:rPr>
                <w:rFonts w:hint="eastAsia"/>
                <w:highlight w:val="none"/>
                <w:lang w:val="zh-CN"/>
              </w:rPr>
            </w:pPr>
            <w:r>
              <w:rPr>
                <w:rFonts w:hint="eastAsia"/>
                <w:highlight w:val="none"/>
                <w:lang w:val="zh-CN"/>
              </w:rPr>
              <w:t>签字或盖章要求</w:t>
            </w:r>
          </w:p>
        </w:tc>
        <w:tc>
          <w:tcPr>
            <w:tcW w:w="6215" w:type="dxa"/>
            <w:tcBorders>
              <w:top w:val="single" w:color="auto" w:sz="4" w:space="0"/>
              <w:left w:val="single" w:color="auto" w:sz="4" w:space="0"/>
              <w:bottom w:val="single" w:color="auto" w:sz="4" w:space="0"/>
              <w:right w:val="single" w:color="auto" w:sz="4" w:space="0"/>
            </w:tcBorders>
            <w:noWrap w:val="0"/>
            <w:vAlign w:val="center"/>
          </w:tcPr>
          <w:p>
            <w:pPr>
              <w:pStyle w:val="41"/>
              <w:ind w:firstLine="240" w:firstLineChars="100"/>
              <w:rPr>
                <w:rFonts w:hint="eastAsia"/>
                <w:highlight w:val="none"/>
                <w:lang w:val="zh-CN"/>
              </w:rPr>
            </w:pPr>
            <w:r>
              <w:rPr>
                <w:rFonts w:hint="eastAsia"/>
                <w:highlight w:val="none"/>
                <w:lang w:val="zh-CN"/>
              </w:rPr>
              <w:t>1、所有要求签字的地方都应用不褪色的墨水或签字笔由本人亲笔手写签字，不得用盖章（签名章等）代替，也不得由他人代签。</w:t>
            </w:r>
          </w:p>
          <w:p>
            <w:pPr>
              <w:pStyle w:val="41"/>
              <w:ind w:firstLine="240" w:firstLineChars="100"/>
              <w:rPr>
                <w:rFonts w:hint="eastAsia"/>
                <w:highlight w:val="none"/>
                <w:lang w:val="zh-CN"/>
              </w:rPr>
            </w:pPr>
            <w:r>
              <w:rPr>
                <w:rFonts w:hint="eastAsia"/>
                <w:highlight w:val="none"/>
                <w:lang w:val="zh-CN"/>
              </w:rPr>
              <w:t>2、所有要求盖章的地方都应加盖申请人单位公章（鲜章），不得使用专用章或下属单位印章。</w:t>
            </w:r>
          </w:p>
          <w:p>
            <w:pPr>
              <w:pStyle w:val="41"/>
              <w:ind w:firstLine="240" w:firstLineChars="100"/>
              <w:rPr>
                <w:rFonts w:hint="eastAsia"/>
                <w:highlight w:val="none"/>
                <w:lang w:val="zh-CN"/>
              </w:rPr>
            </w:pPr>
            <w:r>
              <w:rPr>
                <w:rFonts w:hint="eastAsia"/>
                <w:highlight w:val="none"/>
              </w:rPr>
              <w:t>3</w:t>
            </w:r>
            <w:r>
              <w:rPr>
                <w:rFonts w:hint="eastAsia"/>
                <w:highlight w:val="none"/>
                <w:lang w:val="zh-CN"/>
              </w:rPr>
              <w:t>、比选申请文件副本可以是正本复印件（含有鲜章要求的正本内容在副本中可为复印形式）。</w:t>
            </w:r>
          </w:p>
        </w:tc>
      </w:tr>
      <w:tr>
        <w:tblPrEx>
          <w:tblCellMar>
            <w:top w:w="0" w:type="dxa"/>
            <w:left w:w="0" w:type="dxa"/>
            <w:bottom w:w="0" w:type="dxa"/>
            <w:right w:w="0"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pStyle w:val="41"/>
              <w:ind w:right="264"/>
              <w:jc w:val="center"/>
              <w:rPr>
                <w:rFonts w:hint="eastAsia"/>
                <w:highlight w:val="none"/>
                <w:lang w:val="zh-CN"/>
              </w:rPr>
            </w:pPr>
            <w:r>
              <w:rPr>
                <w:rFonts w:hint="eastAsia"/>
                <w:highlight w:val="none"/>
              </w:rPr>
              <w:t>8</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pStyle w:val="41"/>
              <w:jc w:val="center"/>
              <w:rPr>
                <w:rFonts w:hint="eastAsia"/>
                <w:highlight w:val="none"/>
                <w:lang w:val="zh-CN"/>
              </w:rPr>
            </w:pPr>
            <w:r>
              <w:rPr>
                <w:rFonts w:hint="eastAsia"/>
                <w:highlight w:val="none"/>
                <w:lang w:val="zh-CN"/>
              </w:rPr>
              <w:t>申请文件正副本份数</w:t>
            </w:r>
          </w:p>
        </w:tc>
        <w:tc>
          <w:tcPr>
            <w:tcW w:w="6215" w:type="dxa"/>
            <w:tcBorders>
              <w:top w:val="single" w:color="auto" w:sz="4" w:space="0"/>
              <w:left w:val="single" w:color="auto" w:sz="4" w:space="0"/>
              <w:bottom w:val="single" w:color="auto" w:sz="4" w:space="0"/>
              <w:right w:val="single" w:color="auto" w:sz="4" w:space="0"/>
            </w:tcBorders>
            <w:noWrap w:val="0"/>
            <w:vAlign w:val="center"/>
          </w:tcPr>
          <w:p>
            <w:pPr>
              <w:pStyle w:val="41"/>
              <w:rPr>
                <w:rFonts w:hint="eastAsia"/>
                <w:highlight w:val="none"/>
                <w:u w:val="single"/>
                <w:lang w:val="zh-CN"/>
              </w:rPr>
            </w:pPr>
            <w:r>
              <w:rPr>
                <w:rFonts w:hint="eastAsia"/>
                <w:highlight w:val="none"/>
                <w:lang w:val="zh-CN"/>
              </w:rPr>
              <w:t>比选申请文件正本</w:t>
            </w:r>
            <w:r>
              <w:rPr>
                <w:rFonts w:hint="eastAsia"/>
                <w:highlight w:val="none"/>
              </w:rPr>
              <w:t>1份，副本</w:t>
            </w:r>
            <w:r>
              <w:rPr>
                <w:rFonts w:hint="eastAsia"/>
                <w:highlight w:val="none"/>
                <w:lang w:val="en-US" w:eastAsia="zh-CN"/>
              </w:rPr>
              <w:t>2</w:t>
            </w:r>
            <w:r>
              <w:rPr>
                <w:rFonts w:hint="eastAsia"/>
                <w:highlight w:val="none"/>
              </w:rPr>
              <w:t>份（</w:t>
            </w:r>
            <w:r>
              <w:rPr>
                <w:rFonts w:hint="eastAsia"/>
                <w:highlight w:val="none"/>
                <w:lang w:val="zh-CN"/>
              </w:rPr>
              <w:t>正副本内容应一致，有不一致时，均以正本为准），同时提供与正本完全相同的电子文档一份。</w:t>
            </w:r>
          </w:p>
        </w:tc>
      </w:tr>
      <w:tr>
        <w:tblPrEx>
          <w:tblCellMar>
            <w:top w:w="0" w:type="dxa"/>
            <w:left w:w="0" w:type="dxa"/>
            <w:bottom w:w="0" w:type="dxa"/>
            <w:right w:w="0"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pStyle w:val="41"/>
              <w:ind w:right="264"/>
              <w:jc w:val="center"/>
              <w:rPr>
                <w:rFonts w:hint="eastAsia"/>
                <w:highlight w:val="none"/>
                <w:lang w:val="zh-CN"/>
              </w:rPr>
            </w:pPr>
            <w:r>
              <w:rPr>
                <w:rFonts w:hint="eastAsia"/>
                <w:highlight w:val="none"/>
              </w:rPr>
              <w:t>9</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pStyle w:val="41"/>
              <w:jc w:val="center"/>
              <w:rPr>
                <w:rFonts w:hint="eastAsia"/>
                <w:highlight w:val="none"/>
                <w:lang w:val="zh-CN"/>
              </w:rPr>
            </w:pPr>
            <w:r>
              <w:rPr>
                <w:rFonts w:hint="eastAsia"/>
                <w:highlight w:val="none"/>
                <w:lang w:val="zh-CN"/>
              </w:rPr>
              <w:t>装订要求及密封</w:t>
            </w:r>
          </w:p>
        </w:tc>
        <w:tc>
          <w:tcPr>
            <w:tcW w:w="6215" w:type="dxa"/>
            <w:tcBorders>
              <w:top w:val="single" w:color="auto" w:sz="4" w:space="0"/>
              <w:left w:val="single" w:color="auto" w:sz="4" w:space="0"/>
              <w:bottom w:val="single" w:color="auto" w:sz="4" w:space="0"/>
              <w:right w:val="single" w:color="auto" w:sz="4" w:space="0"/>
            </w:tcBorders>
            <w:noWrap w:val="0"/>
            <w:vAlign w:val="center"/>
          </w:tcPr>
          <w:p>
            <w:pPr>
              <w:pStyle w:val="41"/>
              <w:rPr>
                <w:rFonts w:hint="eastAsia"/>
                <w:highlight w:val="none"/>
                <w:lang w:val="zh-CN"/>
              </w:rPr>
            </w:pPr>
            <w:r>
              <w:rPr>
                <w:rFonts w:hint="eastAsia"/>
                <w:highlight w:val="none"/>
                <w:lang w:val="zh-CN"/>
              </w:rPr>
              <w:t xml:space="preserve">  1、宜采用A4纸打印，每份申请文件单独装订一册，标明正、副本。（不得采用活页夹等可拆换的装订方式）</w:t>
            </w:r>
          </w:p>
          <w:p>
            <w:pPr>
              <w:pStyle w:val="41"/>
              <w:ind w:firstLine="240" w:firstLineChars="100"/>
              <w:rPr>
                <w:rFonts w:hint="eastAsia"/>
                <w:highlight w:val="none"/>
                <w:lang w:val="zh-CN"/>
              </w:rPr>
            </w:pPr>
            <w:r>
              <w:rPr>
                <w:rFonts w:hint="eastAsia"/>
                <w:highlight w:val="none"/>
                <w:lang w:val="zh-CN"/>
              </w:rPr>
              <w:t>2、申请文件的正本与副本一并包装，加贴封条，并在封套的封口处加盖申请人单位行政公章。</w:t>
            </w:r>
          </w:p>
          <w:p>
            <w:pPr>
              <w:pStyle w:val="41"/>
              <w:ind w:firstLine="240" w:firstLineChars="100"/>
              <w:rPr>
                <w:rFonts w:hint="eastAsia"/>
                <w:highlight w:val="none"/>
                <w:lang w:val="zh-CN"/>
              </w:rPr>
            </w:pPr>
            <w:r>
              <w:rPr>
                <w:rFonts w:hint="eastAsia"/>
                <w:highlight w:val="none"/>
                <w:lang w:val="zh-CN"/>
              </w:rPr>
              <w:t>3、申请文件封套上至少写明：“四川省文物局研究设立四川省文物保护标准化技术委员会服务项目比选申请文件”、申请人名称、“在</w:t>
            </w:r>
            <w:r>
              <w:rPr>
                <w:rFonts w:hint="eastAsia"/>
                <w:color w:val="auto"/>
                <w:highlight w:val="none"/>
                <w:u w:val="single"/>
              </w:rPr>
              <w:t>202</w:t>
            </w:r>
            <w:r>
              <w:rPr>
                <w:rFonts w:hint="eastAsia"/>
                <w:color w:val="auto"/>
                <w:highlight w:val="none"/>
                <w:u w:val="single"/>
                <w:lang w:val="en-US" w:eastAsia="zh-CN"/>
              </w:rPr>
              <w:t>3</w:t>
            </w:r>
            <w:r>
              <w:rPr>
                <w:rFonts w:hint="eastAsia"/>
                <w:color w:val="auto"/>
                <w:highlight w:val="none"/>
                <w:lang w:val="zh-CN"/>
              </w:rPr>
              <w:t>年</w:t>
            </w:r>
            <w:r>
              <w:rPr>
                <w:rFonts w:hint="eastAsia"/>
                <w:color w:val="auto"/>
                <w:highlight w:val="none"/>
                <w:lang w:val="en-US" w:eastAsia="zh-CN"/>
              </w:rPr>
              <w:t>12</w:t>
            </w:r>
            <w:r>
              <w:rPr>
                <w:rFonts w:hint="eastAsia"/>
                <w:color w:val="auto"/>
                <w:highlight w:val="none"/>
                <w:lang w:val="zh-CN"/>
              </w:rPr>
              <w:t>月</w:t>
            </w:r>
            <w:r>
              <w:rPr>
                <w:rFonts w:hint="eastAsia"/>
                <w:color w:val="auto"/>
                <w:highlight w:val="none"/>
                <w:u w:val="single"/>
                <w:lang w:val="en-US" w:eastAsia="zh-CN"/>
              </w:rPr>
              <w:t>4</w:t>
            </w:r>
            <w:r>
              <w:rPr>
                <w:rFonts w:hint="eastAsia"/>
                <w:color w:val="auto"/>
                <w:highlight w:val="none"/>
                <w:lang w:val="zh-CN"/>
              </w:rPr>
              <w:t>日</w:t>
            </w:r>
            <w:r>
              <w:rPr>
                <w:rFonts w:hint="eastAsia"/>
                <w:color w:val="auto"/>
                <w:highlight w:val="none"/>
                <w:u w:val="single"/>
                <w:lang w:val="en-US" w:eastAsia="zh-CN"/>
              </w:rPr>
              <w:t>10</w:t>
            </w:r>
            <w:r>
              <w:rPr>
                <w:rFonts w:hint="eastAsia"/>
                <w:color w:val="auto"/>
                <w:highlight w:val="none"/>
                <w:lang w:val="zh-CN"/>
              </w:rPr>
              <w:t>时</w:t>
            </w:r>
            <w:r>
              <w:rPr>
                <w:rFonts w:hint="eastAsia"/>
                <w:color w:val="auto"/>
                <w:highlight w:val="none"/>
                <w:u w:val="single"/>
                <w:lang w:val="en-US" w:eastAsia="zh-CN"/>
              </w:rPr>
              <w:t>00</w:t>
            </w:r>
            <w:r>
              <w:rPr>
                <w:rFonts w:hint="eastAsia"/>
                <w:color w:val="auto"/>
                <w:highlight w:val="none"/>
                <w:lang w:val="zh-CN"/>
              </w:rPr>
              <w:t>分前不</w:t>
            </w:r>
            <w:r>
              <w:rPr>
                <w:rFonts w:hint="eastAsia"/>
                <w:highlight w:val="none"/>
                <w:lang w:val="zh-CN"/>
              </w:rPr>
              <w:t>得拆封”。密封处加盖比选申请人单位公章。</w:t>
            </w:r>
          </w:p>
        </w:tc>
      </w:tr>
      <w:tr>
        <w:tblPrEx>
          <w:tblCellMar>
            <w:top w:w="0" w:type="dxa"/>
            <w:left w:w="0" w:type="dxa"/>
            <w:bottom w:w="0" w:type="dxa"/>
            <w:right w:w="0" w:type="dxa"/>
          </w:tblCellMar>
        </w:tblPrEx>
        <w:trPr>
          <w:trHeight w:val="31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pStyle w:val="41"/>
              <w:ind w:right="264"/>
              <w:jc w:val="center"/>
              <w:rPr>
                <w:rFonts w:hint="eastAsia"/>
                <w:highlight w:val="none"/>
                <w:lang w:val="zh-CN"/>
              </w:rPr>
            </w:pPr>
            <w:r>
              <w:rPr>
                <w:rFonts w:hint="eastAsia"/>
                <w:highlight w:val="none"/>
                <w:lang w:val="zh-CN"/>
              </w:rPr>
              <w:t>1</w:t>
            </w:r>
            <w:r>
              <w:rPr>
                <w:rFonts w:hint="eastAsia"/>
                <w:highlight w:val="none"/>
              </w:rPr>
              <w:t>0</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pStyle w:val="41"/>
              <w:ind w:left="33"/>
              <w:jc w:val="center"/>
              <w:rPr>
                <w:rFonts w:hint="eastAsia"/>
                <w:highlight w:val="none"/>
                <w:lang w:val="zh-CN"/>
              </w:rPr>
            </w:pPr>
            <w:r>
              <w:rPr>
                <w:rFonts w:hint="eastAsia"/>
                <w:highlight w:val="none"/>
                <w:lang w:val="zh-CN"/>
              </w:rPr>
              <w:t>比选申请保证金</w:t>
            </w:r>
          </w:p>
        </w:tc>
        <w:tc>
          <w:tcPr>
            <w:tcW w:w="6215" w:type="dxa"/>
            <w:tcBorders>
              <w:top w:val="single" w:color="auto" w:sz="4" w:space="0"/>
              <w:left w:val="single" w:color="auto" w:sz="4" w:space="0"/>
              <w:bottom w:val="single" w:color="auto" w:sz="4" w:space="0"/>
              <w:right w:val="single" w:color="auto" w:sz="4" w:space="0"/>
            </w:tcBorders>
            <w:noWrap w:val="0"/>
            <w:vAlign w:val="center"/>
          </w:tcPr>
          <w:p>
            <w:pPr>
              <w:pStyle w:val="41"/>
              <w:ind w:firstLine="240" w:firstLineChars="100"/>
              <w:rPr>
                <w:rFonts w:hint="eastAsia"/>
                <w:highlight w:val="none"/>
                <w:lang w:val="zh-CN"/>
              </w:rPr>
            </w:pPr>
            <w:r>
              <w:rPr>
                <w:rFonts w:hint="eastAsia"/>
                <w:highlight w:val="none"/>
                <w:lang w:val="zh-CN"/>
              </w:rPr>
              <w:t>比选人不收取比选申请保证金。</w:t>
            </w:r>
          </w:p>
        </w:tc>
      </w:tr>
      <w:tr>
        <w:tblPrEx>
          <w:tblCellMar>
            <w:top w:w="0" w:type="dxa"/>
            <w:left w:w="0" w:type="dxa"/>
            <w:bottom w:w="0" w:type="dxa"/>
            <w:right w:w="0" w:type="dxa"/>
          </w:tblCellMar>
        </w:tblPrEx>
        <w:trPr>
          <w:trHeight w:val="104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pStyle w:val="41"/>
              <w:ind w:right="264"/>
              <w:jc w:val="center"/>
              <w:rPr>
                <w:rFonts w:hint="eastAsia"/>
                <w:highlight w:val="none"/>
              </w:rPr>
            </w:pPr>
            <w:r>
              <w:rPr>
                <w:rFonts w:hint="eastAsia"/>
                <w:highlight w:val="none"/>
              </w:rPr>
              <w:t>11</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pStyle w:val="41"/>
              <w:ind w:left="52"/>
              <w:jc w:val="center"/>
              <w:rPr>
                <w:rFonts w:hint="eastAsia"/>
                <w:highlight w:val="none"/>
                <w:lang w:val="zh-CN"/>
              </w:rPr>
            </w:pPr>
            <w:r>
              <w:rPr>
                <w:rFonts w:hint="eastAsia"/>
                <w:highlight w:val="none"/>
                <w:lang w:val="zh-CN"/>
              </w:rPr>
              <w:t>比选申请文件递交</w:t>
            </w:r>
          </w:p>
        </w:tc>
        <w:tc>
          <w:tcPr>
            <w:tcW w:w="6215" w:type="dxa"/>
            <w:tcBorders>
              <w:top w:val="single" w:color="auto" w:sz="4" w:space="0"/>
              <w:left w:val="single" w:color="auto" w:sz="4" w:space="0"/>
              <w:bottom w:val="single" w:color="auto" w:sz="4" w:space="0"/>
              <w:right w:val="single" w:color="auto" w:sz="4" w:space="0"/>
            </w:tcBorders>
            <w:noWrap w:val="0"/>
            <w:vAlign w:val="center"/>
          </w:tcPr>
          <w:p>
            <w:pPr>
              <w:pStyle w:val="41"/>
              <w:ind w:firstLine="240" w:firstLineChars="100"/>
              <w:jc w:val="both"/>
              <w:rPr>
                <w:rFonts w:hint="eastAsia"/>
                <w:color w:val="auto"/>
                <w:highlight w:val="none"/>
                <w:lang w:val="zh-CN"/>
              </w:rPr>
            </w:pPr>
            <w:r>
              <w:rPr>
                <w:rFonts w:hint="eastAsia"/>
                <w:color w:val="auto"/>
                <w:highlight w:val="none"/>
                <w:lang w:val="zh-CN"/>
              </w:rPr>
              <w:t>1、递交开始时间：</w:t>
            </w:r>
            <w:r>
              <w:rPr>
                <w:rFonts w:hint="eastAsia"/>
                <w:color w:val="auto"/>
                <w:highlight w:val="none"/>
                <w:u w:val="single"/>
                <w:lang w:val="zh-CN"/>
              </w:rPr>
              <w:t xml:space="preserve"> </w:t>
            </w:r>
            <w:r>
              <w:rPr>
                <w:rFonts w:hint="eastAsia"/>
                <w:color w:val="auto"/>
                <w:highlight w:val="none"/>
                <w:u w:val="single"/>
              </w:rPr>
              <w:t>202</w:t>
            </w:r>
            <w:r>
              <w:rPr>
                <w:rFonts w:hint="eastAsia"/>
                <w:color w:val="auto"/>
                <w:highlight w:val="none"/>
                <w:u w:val="single"/>
                <w:lang w:val="en-US" w:eastAsia="zh-CN"/>
              </w:rPr>
              <w:t>3</w:t>
            </w:r>
            <w:r>
              <w:rPr>
                <w:rFonts w:hint="eastAsia"/>
                <w:color w:val="auto"/>
                <w:highlight w:val="none"/>
                <w:u w:val="single"/>
                <w:lang w:val="zh-CN"/>
              </w:rPr>
              <w:t xml:space="preserve"> </w:t>
            </w:r>
            <w:r>
              <w:rPr>
                <w:rFonts w:hint="eastAsia"/>
                <w:color w:val="auto"/>
                <w:highlight w:val="none"/>
                <w:lang w:val="zh-CN"/>
              </w:rPr>
              <w:t>年</w:t>
            </w:r>
            <w:r>
              <w:rPr>
                <w:rFonts w:hint="eastAsia"/>
                <w:color w:val="auto"/>
                <w:highlight w:val="none"/>
                <w:u w:val="single"/>
                <w:lang w:val="en-US" w:eastAsia="zh-CN"/>
              </w:rPr>
              <w:t>11</w:t>
            </w:r>
            <w:r>
              <w:rPr>
                <w:rFonts w:hint="eastAsia"/>
                <w:color w:val="auto"/>
                <w:highlight w:val="none"/>
                <w:lang w:val="zh-CN"/>
              </w:rPr>
              <w:t>月</w:t>
            </w:r>
            <w:r>
              <w:rPr>
                <w:rFonts w:hint="eastAsia"/>
                <w:color w:val="auto"/>
                <w:highlight w:val="none"/>
                <w:u w:val="single"/>
                <w:lang w:val="en-US" w:eastAsia="zh-CN"/>
              </w:rPr>
              <w:t>29</w:t>
            </w:r>
            <w:r>
              <w:rPr>
                <w:rFonts w:hint="eastAsia"/>
                <w:color w:val="auto"/>
                <w:highlight w:val="none"/>
                <w:lang w:val="zh-CN"/>
              </w:rPr>
              <w:t>日</w:t>
            </w:r>
            <w:r>
              <w:rPr>
                <w:rFonts w:hint="eastAsia"/>
                <w:color w:val="auto"/>
                <w:highlight w:val="none"/>
                <w:u w:val="single"/>
                <w:lang w:val="en-US" w:eastAsia="zh-CN"/>
              </w:rPr>
              <w:t xml:space="preserve"> 9</w:t>
            </w:r>
            <w:r>
              <w:rPr>
                <w:rFonts w:hint="eastAsia"/>
                <w:color w:val="auto"/>
                <w:highlight w:val="none"/>
                <w:u w:val="single"/>
              </w:rPr>
              <w:t>:</w:t>
            </w:r>
            <w:r>
              <w:rPr>
                <w:rFonts w:hint="eastAsia"/>
                <w:color w:val="auto"/>
                <w:highlight w:val="none"/>
                <w:u w:val="single"/>
                <w:lang w:val="en-US" w:eastAsia="zh-CN"/>
              </w:rPr>
              <w:t xml:space="preserve">00 </w:t>
            </w:r>
          </w:p>
          <w:p>
            <w:pPr>
              <w:pStyle w:val="41"/>
              <w:ind w:firstLine="240" w:firstLineChars="100"/>
              <w:jc w:val="both"/>
              <w:rPr>
                <w:rFonts w:hint="eastAsia" w:eastAsia="宋体"/>
                <w:color w:val="auto"/>
                <w:highlight w:val="none"/>
                <w:lang w:val="en-US" w:eastAsia="zh-CN"/>
              </w:rPr>
            </w:pPr>
            <w:r>
              <w:rPr>
                <w:rFonts w:hint="eastAsia"/>
                <w:color w:val="auto"/>
                <w:highlight w:val="none"/>
                <w:lang w:val="zh-CN"/>
              </w:rPr>
              <w:t>2、递交截止时间：</w:t>
            </w:r>
            <w:r>
              <w:rPr>
                <w:rFonts w:hint="eastAsia"/>
                <w:color w:val="auto"/>
                <w:highlight w:val="none"/>
                <w:u w:val="single"/>
                <w:lang w:val="zh-CN"/>
              </w:rPr>
              <w:t xml:space="preserve"> </w:t>
            </w:r>
            <w:r>
              <w:rPr>
                <w:rFonts w:hint="eastAsia"/>
                <w:color w:val="auto"/>
                <w:highlight w:val="none"/>
                <w:u w:val="single"/>
              </w:rPr>
              <w:t>202</w:t>
            </w:r>
            <w:r>
              <w:rPr>
                <w:rFonts w:hint="eastAsia"/>
                <w:color w:val="auto"/>
                <w:highlight w:val="none"/>
                <w:u w:val="single"/>
                <w:lang w:val="en-US" w:eastAsia="zh-CN"/>
              </w:rPr>
              <w:t xml:space="preserve">3 </w:t>
            </w:r>
            <w:r>
              <w:rPr>
                <w:rFonts w:hint="eastAsia"/>
                <w:color w:val="auto"/>
                <w:highlight w:val="none"/>
                <w:lang w:val="zh-CN"/>
              </w:rPr>
              <w:t>年</w:t>
            </w:r>
            <w:r>
              <w:rPr>
                <w:rFonts w:hint="eastAsia"/>
                <w:color w:val="auto"/>
                <w:highlight w:val="none"/>
                <w:u w:val="single"/>
                <w:lang w:val="en-US" w:eastAsia="zh-CN"/>
              </w:rPr>
              <w:t>12</w:t>
            </w:r>
            <w:r>
              <w:rPr>
                <w:rFonts w:hint="eastAsia"/>
                <w:color w:val="auto"/>
                <w:highlight w:val="none"/>
                <w:lang w:val="zh-CN"/>
              </w:rPr>
              <w:t>月</w:t>
            </w:r>
            <w:r>
              <w:rPr>
                <w:rFonts w:hint="eastAsia"/>
                <w:color w:val="auto"/>
                <w:highlight w:val="none"/>
                <w:u w:val="single"/>
                <w:lang w:val="en-US" w:eastAsia="zh-CN"/>
              </w:rPr>
              <w:t>4</w:t>
            </w:r>
            <w:r>
              <w:rPr>
                <w:rFonts w:hint="eastAsia"/>
                <w:color w:val="auto"/>
                <w:highlight w:val="none"/>
                <w:lang w:val="zh-CN"/>
              </w:rPr>
              <w:t>日</w:t>
            </w:r>
            <w:r>
              <w:rPr>
                <w:rFonts w:hint="eastAsia"/>
                <w:color w:val="auto"/>
                <w:highlight w:val="none"/>
                <w:u w:val="single"/>
                <w:lang w:val="en-US" w:eastAsia="zh-CN"/>
              </w:rPr>
              <w:t xml:space="preserve"> 10：00 </w:t>
            </w:r>
          </w:p>
          <w:p>
            <w:pPr>
              <w:pStyle w:val="41"/>
              <w:ind w:firstLine="240" w:firstLineChars="100"/>
              <w:jc w:val="both"/>
              <w:rPr>
                <w:rFonts w:hint="eastAsia"/>
                <w:highlight w:val="none"/>
                <w:lang w:val="zh-CN"/>
              </w:rPr>
            </w:pPr>
            <w:r>
              <w:rPr>
                <w:rFonts w:hint="eastAsia"/>
                <w:highlight w:val="none"/>
                <w:lang w:val="zh-CN"/>
              </w:rPr>
              <w:t>3、递交地址：成都市青羊区东胜街</w:t>
            </w:r>
            <w:r>
              <w:rPr>
                <w:rFonts w:hint="eastAsia"/>
                <w:highlight w:val="none"/>
                <w:lang w:val="en-US" w:eastAsia="zh-CN"/>
              </w:rPr>
              <w:t>19号</w:t>
            </w:r>
          </w:p>
        </w:tc>
      </w:tr>
      <w:tr>
        <w:tblPrEx>
          <w:tblCellMar>
            <w:top w:w="0" w:type="dxa"/>
            <w:left w:w="0" w:type="dxa"/>
            <w:bottom w:w="0" w:type="dxa"/>
            <w:right w:w="0"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pStyle w:val="41"/>
              <w:ind w:right="264"/>
              <w:jc w:val="center"/>
              <w:rPr>
                <w:rFonts w:hint="eastAsia"/>
                <w:highlight w:val="none"/>
              </w:rPr>
            </w:pPr>
            <w:r>
              <w:rPr>
                <w:rFonts w:hint="eastAsia"/>
                <w:highlight w:val="none"/>
              </w:rPr>
              <w:t>12</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pStyle w:val="41"/>
              <w:ind w:left="52"/>
              <w:jc w:val="center"/>
              <w:rPr>
                <w:rFonts w:hint="eastAsia"/>
                <w:highlight w:val="none"/>
                <w:lang w:val="zh-CN"/>
              </w:rPr>
            </w:pPr>
            <w:r>
              <w:rPr>
                <w:rFonts w:hint="eastAsia"/>
                <w:highlight w:val="none"/>
                <w:lang w:val="zh-CN"/>
              </w:rPr>
              <w:t>比选时间及地点</w:t>
            </w:r>
          </w:p>
        </w:tc>
        <w:tc>
          <w:tcPr>
            <w:tcW w:w="6215" w:type="dxa"/>
            <w:tcBorders>
              <w:top w:val="single" w:color="auto" w:sz="4" w:space="0"/>
              <w:left w:val="single" w:color="auto" w:sz="4" w:space="0"/>
              <w:bottom w:val="single" w:color="auto" w:sz="4" w:space="0"/>
              <w:right w:val="single" w:color="auto" w:sz="4" w:space="0"/>
            </w:tcBorders>
            <w:noWrap w:val="0"/>
            <w:vAlign w:val="center"/>
          </w:tcPr>
          <w:p>
            <w:pPr>
              <w:pStyle w:val="41"/>
              <w:ind w:left="210" w:leftChars="100"/>
              <w:jc w:val="both"/>
              <w:rPr>
                <w:rFonts w:hint="default" w:eastAsia="宋体"/>
                <w:highlight w:val="none"/>
                <w:lang w:val="en-US" w:eastAsia="zh-CN"/>
              </w:rPr>
            </w:pPr>
            <w:r>
              <w:rPr>
                <w:rFonts w:hint="eastAsia"/>
                <w:color w:val="auto"/>
                <w:highlight w:val="none"/>
                <w:u w:val="single"/>
              </w:rPr>
              <w:t>202</w:t>
            </w:r>
            <w:r>
              <w:rPr>
                <w:rFonts w:hint="eastAsia"/>
                <w:color w:val="auto"/>
                <w:highlight w:val="none"/>
                <w:u w:val="single"/>
                <w:lang w:val="en-US" w:eastAsia="zh-CN"/>
              </w:rPr>
              <w:t xml:space="preserve">3 </w:t>
            </w:r>
            <w:r>
              <w:rPr>
                <w:rFonts w:hint="eastAsia"/>
                <w:color w:val="auto"/>
                <w:highlight w:val="none"/>
                <w:lang w:val="zh-CN"/>
              </w:rPr>
              <w:t>年</w:t>
            </w:r>
            <w:r>
              <w:rPr>
                <w:rFonts w:hint="eastAsia"/>
                <w:color w:val="auto"/>
                <w:highlight w:val="none"/>
                <w:u w:val="single"/>
                <w:lang w:val="en-US" w:eastAsia="zh-CN"/>
              </w:rPr>
              <w:t>12</w:t>
            </w:r>
            <w:r>
              <w:rPr>
                <w:rFonts w:hint="eastAsia"/>
                <w:color w:val="auto"/>
                <w:highlight w:val="none"/>
                <w:lang w:val="zh-CN"/>
              </w:rPr>
              <w:t>月</w:t>
            </w:r>
            <w:r>
              <w:rPr>
                <w:rFonts w:hint="eastAsia"/>
                <w:color w:val="auto"/>
                <w:highlight w:val="none"/>
                <w:lang w:val="en-US" w:eastAsia="zh-CN"/>
              </w:rPr>
              <w:t>4</w:t>
            </w:r>
            <w:r>
              <w:rPr>
                <w:rFonts w:hint="eastAsia"/>
                <w:color w:val="auto"/>
                <w:highlight w:val="none"/>
                <w:lang w:val="zh-CN"/>
              </w:rPr>
              <w:t>日</w:t>
            </w:r>
            <w:r>
              <w:rPr>
                <w:rFonts w:hint="eastAsia"/>
                <w:color w:val="auto"/>
                <w:highlight w:val="none"/>
                <w:u w:val="single"/>
              </w:rPr>
              <w:t xml:space="preserve"> </w:t>
            </w:r>
            <w:r>
              <w:rPr>
                <w:rFonts w:hint="eastAsia"/>
                <w:color w:val="auto"/>
                <w:highlight w:val="none"/>
                <w:u w:val="single"/>
                <w:lang w:val="en-US" w:eastAsia="zh-CN"/>
              </w:rPr>
              <w:t>10</w:t>
            </w:r>
            <w:r>
              <w:rPr>
                <w:rFonts w:hint="eastAsia"/>
                <w:color w:val="auto"/>
                <w:highlight w:val="none"/>
                <w:u w:val="single"/>
              </w:rPr>
              <w:t>:</w:t>
            </w:r>
            <w:r>
              <w:rPr>
                <w:rFonts w:hint="eastAsia"/>
                <w:color w:val="auto"/>
                <w:highlight w:val="none"/>
                <w:u w:val="single"/>
                <w:lang w:val="en-US" w:eastAsia="zh-CN"/>
              </w:rPr>
              <w:t xml:space="preserve">00 </w:t>
            </w:r>
            <w:r>
              <w:rPr>
                <w:rFonts w:hint="eastAsia"/>
                <w:color w:val="FF0000"/>
                <w:highlight w:val="none"/>
              </w:rPr>
              <w:t xml:space="preserve"> </w:t>
            </w:r>
            <w:r>
              <w:rPr>
                <w:rFonts w:hint="eastAsia"/>
                <w:highlight w:val="none"/>
                <w:lang w:val="zh-CN"/>
              </w:rPr>
              <w:br w:type="textWrapping"/>
            </w:r>
            <w:r>
              <w:rPr>
                <w:rFonts w:hint="eastAsia"/>
                <w:highlight w:val="none"/>
                <w:lang w:val="zh-CN"/>
              </w:rPr>
              <w:t>地点：成都市青羊区东胜街</w:t>
            </w:r>
            <w:r>
              <w:rPr>
                <w:rFonts w:hint="eastAsia"/>
                <w:highlight w:val="none"/>
                <w:lang w:val="en-US" w:eastAsia="zh-CN"/>
              </w:rPr>
              <w:t>19号</w:t>
            </w:r>
          </w:p>
        </w:tc>
      </w:tr>
      <w:tr>
        <w:tblPrEx>
          <w:tblCellMar>
            <w:top w:w="0" w:type="dxa"/>
            <w:left w:w="0" w:type="dxa"/>
            <w:bottom w:w="0" w:type="dxa"/>
            <w:right w:w="0" w:type="dxa"/>
          </w:tblCellMar>
        </w:tblPrEx>
        <w:trPr>
          <w:trHeight w:val="9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pStyle w:val="41"/>
              <w:ind w:right="264"/>
              <w:jc w:val="center"/>
              <w:rPr>
                <w:rFonts w:hint="eastAsia"/>
                <w:highlight w:val="none"/>
              </w:rPr>
            </w:pPr>
            <w:r>
              <w:rPr>
                <w:rFonts w:hint="eastAsia"/>
                <w:highlight w:val="none"/>
              </w:rPr>
              <w:t>13</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pStyle w:val="41"/>
              <w:jc w:val="center"/>
              <w:rPr>
                <w:rFonts w:hint="eastAsia"/>
                <w:highlight w:val="none"/>
                <w:lang w:val="zh-CN"/>
              </w:rPr>
            </w:pPr>
            <w:r>
              <w:rPr>
                <w:rFonts w:hint="eastAsia"/>
                <w:highlight w:val="none"/>
                <w:lang w:val="zh-CN"/>
              </w:rPr>
              <w:t>比选小组的组建</w:t>
            </w:r>
          </w:p>
        </w:tc>
        <w:tc>
          <w:tcPr>
            <w:tcW w:w="6215" w:type="dxa"/>
            <w:tcBorders>
              <w:top w:val="single" w:color="auto" w:sz="4" w:space="0"/>
              <w:left w:val="single" w:color="auto" w:sz="4" w:space="0"/>
              <w:bottom w:val="single" w:color="auto" w:sz="4" w:space="0"/>
              <w:right w:val="single" w:color="auto" w:sz="4" w:space="0"/>
            </w:tcBorders>
            <w:noWrap w:val="0"/>
            <w:vAlign w:val="center"/>
          </w:tcPr>
          <w:p>
            <w:pPr>
              <w:pStyle w:val="41"/>
              <w:ind w:firstLine="240" w:firstLineChars="100"/>
              <w:rPr>
                <w:rFonts w:hint="eastAsia"/>
                <w:highlight w:val="none"/>
                <w:lang w:val="zh-CN"/>
              </w:rPr>
            </w:pPr>
            <w:r>
              <w:rPr>
                <w:rFonts w:hint="eastAsia"/>
                <w:highlight w:val="none"/>
                <w:lang w:val="zh-CN"/>
              </w:rPr>
              <w:t>参照相关文件执行。</w:t>
            </w:r>
          </w:p>
        </w:tc>
      </w:tr>
      <w:tr>
        <w:tblPrEx>
          <w:tblCellMar>
            <w:top w:w="0" w:type="dxa"/>
            <w:left w:w="0" w:type="dxa"/>
            <w:bottom w:w="0" w:type="dxa"/>
            <w:right w:w="0" w:type="dxa"/>
          </w:tblCellMar>
        </w:tblPrEx>
        <w:trPr>
          <w:trHeight w:val="9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pStyle w:val="41"/>
              <w:ind w:right="264"/>
              <w:jc w:val="center"/>
              <w:rPr>
                <w:rFonts w:hint="eastAsia"/>
                <w:highlight w:val="none"/>
              </w:rPr>
            </w:pPr>
            <w:r>
              <w:rPr>
                <w:rFonts w:hint="eastAsia"/>
                <w:highlight w:val="none"/>
              </w:rPr>
              <w:t>14</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pStyle w:val="41"/>
              <w:jc w:val="center"/>
              <w:rPr>
                <w:rFonts w:hint="eastAsia"/>
                <w:highlight w:val="none"/>
                <w:lang w:val="zh-CN"/>
              </w:rPr>
            </w:pPr>
            <w:r>
              <w:rPr>
                <w:rFonts w:hint="eastAsia"/>
                <w:highlight w:val="none"/>
                <w:lang w:val="zh-CN"/>
              </w:rPr>
              <w:t>比选办法</w:t>
            </w:r>
          </w:p>
        </w:tc>
        <w:tc>
          <w:tcPr>
            <w:tcW w:w="6215" w:type="dxa"/>
            <w:tcBorders>
              <w:top w:val="single" w:color="auto" w:sz="4" w:space="0"/>
              <w:left w:val="single" w:color="auto" w:sz="4" w:space="0"/>
              <w:bottom w:val="single" w:color="auto" w:sz="4" w:space="0"/>
              <w:right w:val="single" w:color="auto" w:sz="4" w:space="0"/>
            </w:tcBorders>
            <w:noWrap w:val="0"/>
            <w:vAlign w:val="center"/>
          </w:tcPr>
          <w:p>
            <w:pPr>
              <w:pStyle w:val="41"/>
              <w:ind w:firstLine="240" w:firstLineChars="100"/>
              <w:rPr>
                <w:rFonts w:hint="eastAsia"/>
                <w:highlight w:val="none"/>
                <w:lang w:val="zh-CN"/>
              </w:rPr>
            </w:pPr>
            <w:r>
              <w:rPr>
                <w:rFonts w:hint="eastAsia"/>
                <w:highlight w:val="none"/>
                <w:lang w:val="zh-CN"/>
              </w:rPr>
              <w:t>综合评分法。</w:t>
            </w:r>
          </w:p>
        </w:tc>
      </w:tr>
      <w:tr>
        <w:tblPrEx>
          <w:tblCellMar>
            <w:top w:w="0" w:type="dxa"/>
            <w:left w:w="0" w:type="dxa"/>
            <w:bottom w:w="0" w:type="dxa"/>
            <w:right w:w="0"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pStyle w:val="41"/>
              <w:ind w:right="264"/>
              <w:jc w:val="center"/>
              <w:rPr>
                <w:rFonts w:hint="eastAsia"/>
                <w:highlight w:val="none"/>
              </w:rPr>
            </w:pPr>
            <w:r>
              <w:rPr>
                <w:rFonts w:hint="eastAsia"/>
                <w:highlight w:val="none"/>
              </w:rPr>
              <w:t>15</w:t>
            </w:r>
          </w:p>
        </w:tc>
        <w:tc>
          <w:tcPr>
            <w:tcW w:w="2245" w:type="dxa"/>
            <w:tcBorders>
              <w:top w:val="single" w:color="auto" w:sz="4" w:space="0"/>
              <w:left w:val="single" w:color="auto" w:sz="4" w:space="0"/>
              <w:bottom w:val="single" w:color="auto" w:sz="4" w:space="0"/>
              <w:right w:val="single" w:color="auto" w:sz="4" w:space="0"/>
            </w:tcBorders>
            <w:noWrap w:val="0"/>
            <w:vAlign w:val="center"/>
          </w:tcPr>
          <w:p>
            <w:pPr>
              <w:pStyle w:val="41"/>
              <w:jc w:val="center"/>
              <w:rPr>
                <w:rFonts w:hint="eastAsia"/>
                <w:highlight w:val="none"/>
                <w:lang w:val="zh-CN"/>
              </w:rPr>
            </w:pPr>
            <w:r>
              <w:rPr>
                <w:rFonts w:hint="eastAsia"/>
                <w:highlight w:val="none"/>
                <w:lang w:val="zh-CN"/>
              </w:rPr>
              <w:t>保密要求</w:t>
            </w:r>
          </w:p>
        </w:tc>
        <w:tc>
          <w:tcPr>
            <w:tcW w:w="6215" w:type="dxa"/>
            <w:tcBorders>
              <w:top w:val="single" w:color="auto" w:sz="4" w:space="0"/>
              <w:left w:val="single" w:color="auto" w:sz="4" w:space="0"/>
              <w:bottom w:val="single" w:color="auto" w:sz="4" w:space="0"/>
              <w:right w:val="single" w:color="auto" w:sz="4" w:space="0"/>
            </w:tcBorders>
            <w:noWrap w:val="0"/>
            <w:vAlign w:val="center"/>
          </w:tcPr>
          <w:p>
            <w:pPr>
              <w:pStyle w:val="41"/>
              <w:rPr>
                <w:rFonts w:hint="eastAsia"/>
                <w:highlight w:val="none"/>
                <w:lang w:val="zh-CN"/>
              </w:rPr>
            </w:pPr>
            <w:r>
              <w:rPr>
                <w:rFonts w:hint="eastAsia"/>
                <w:highlight w:val="none"/>
                <w:lang w:val="zh-CN"/>
              </w:rPr>
              <w:t>凡收到比选文件的比选申请人，无论中选与否，都有对本比选文件内容保密的义务。</w:t>
            </w:r>
          </w:p>
        </w:tc>
      </w:tr>
    </w:tbl>
    <w:p>
      <w:pPr>
        <w:rPr>
          <w:rFonts w:hint="eastAsia"/>
          <w:highlight w:val="none"/>
        </w:rPr>
      </w:pPr>
    </w:p>
    <w:p>
      <w:pPr>
        <w:pStyle w:val="5"/>
        <w:spacing w:line="400" w:lineRule="exact"/>
        <w:jc w:val="center"/>
        <w:rPr>
          <w:rFonts w:hint="eastAsia" w:ascii="黑体"/>
          <w:bCs w:val="0"/>
          <w:highlight w:val="none"/>
        </w:rPr>
      </w:pPr>
      <w:r>
        <w:rPr>
          <w:rFonts w:hint="eastAsia" w:ascii="黑体"/>
          <w:bCs w:val="0"/>
          <w:highlight w:val="none"/>
        </w:rPr>
        <w:t>二、总  则</w:t>
      </w:r>
    </w:p>
    <w:p>
      <w:pPr>
        <w:pStyle w:val="6"/>
        <w:spacing w:line="400" w:lineRule="exact"/>
        <w:ind w:firstLine="481" w:firstLineChars="200"/>
        <w:rPr>
          <w:rFonts w:hint="eastAsia" w:ascii="宋体"/>
          <w:sz w:val="24"/>
          <w:highlight w:val="none"/>
        </w:rPr>
      </w:pPr>
      <w:bookmarkStart w:id="10" w:name="_Toc183682342"/>
      <w:bookmarkStart w:id="11" w:name="_Toc183582205"/>
      <w:bookmarkStart w:id="12" w:name="_Toc217446034"/>
      <w:r>
        <w:rPr>
          <w:rFonts w:hint="eastAsia" w:ascii="宋体"/>
          <w:sz w:val="24"/>
          <w:highlight w:val="none"/>
        </w:rPr>
        <w:t>1.</w:t>
      </w:r>
      <w:bookmarkEnd w:id="10"/>
      <w:bookmarkEnd w:id="11"/>
      <w:r>
        <w:rPr>
          <w:rFonts w:hint="eastAsia" w:ascii="宋体"/>
          <w:highlight w:val="none"/>
        </w:rPr>
        <w:t xml:space="preserve"> </w:t>
      </w:r>
      <w:r>
        <w:rPr>
          <w:rFonts w:hint="eastAsia" w:ascii="宋体"/>
          <w:sz w:val="24"/>
          <w:szCs w:val="24"/>
          <w:highlight w:val="none"/>
        </w:rPr>
        <w:t>适用范围</w:t>
      </w:r>
      <w:bookmarkEnd w:id="12"/>
    </w:p>
    <w:p>
      <w:pPr>
        <w:tabs>
          <w:tab w:val="left" w:pos="7665"/>
        </w:tabs>
        <w:spacing w:line="400" w:lineRule="exact"/>
        <w:ind w:firstLine="480" w:firstLineChars="200"/>
        <w:rPr>
          <w:rFonts w:hint="eastAsia" w:ascii="宋体"/>
          <w:sz w:val="24"/>
          <w:highlight w:val="none"/>
        </w:rPr>
      </w:pPr>
      <w:r>
        <w:rPr>
          <w:rFonts w:hint="eastAsia" w:ascii="宋体"/>
          <w:sz w:val="24"/>
          <w:highlight w:val="none"/>
        </w:rPr>
        <w:t>1.1 本比选文件仅适用于本次比选项目。</w:t>
      </w:r>
    </w:p>
    <w:p>
      <w:pPr>
        <w:pStyle w:val="6"/>
        <w:spacing w:line="400" w:lineRule="exact"/>
        <w:ind w:firstLine="481" w:firstLineChars="200"/>
        <w:rPr>
          <w:rFonts w:hint="eastAsia" w:ascii="宋体"/>
          <w:sz w:val="24"/>
          <w:highlight w:val="none"/>
        </w:rPr>
      </w:pPr>
      <w:bookmarkStart w:id="13" w:name="_Toc183682343"/>
      <w:bookmarkStart w:id="14" w:name="_Toc183582206"/>
      <w:bookmarkStart w:id="15" w:name="_Toc217446035"/>
      <w:r>
        <w:rPr>
          <w:rFonts w:hint="eastAsia" w:ascii="宋体"/>
          <w:sz w:val="24"/>
          <w:highlight w:val="none"/>
        </w:rPr>
        <w:t xml:space="preserve">2. </w:t>
      </w:r>
      <w:bookmarkEnd w:id="13"/>
      <w:bookmarkEnd w:id="14"/>
      <w:r>
        <w:rPr>
          <w:rFonts w:hint="eastAsia" w:ascii="宋体"/>
          <w:sz w:val="24"/>
          <w:highlight w:val="none"/>
        </w:rPr>
        <w:t>有关</w:t>
      </w:r>
      <w:r>
        <w:rPr>
          <w:rFonts w:hint="eastAsia" w:ascii="宋体"/>
          <w:sz w:val="24"/>
          <w:szCs w:val="24"/>
          <w:highlight w:val="none"/>
        </w:rPr>
        <w:t>定义</w:t>
      </w:r>
      <w:bookmarkEnd w:id="15"/>
    </w:p>
    <w:p>
      <w:pPr>
        <w:tabs>
          <w:tab w:val="left" w:pos="7665"/>
        </w:tabs>
        <w:spacing w:line="400" w:lineRule="exact"/>
        <w:ind w:firstLine="480" w:firstLineChars="200"/>
        <w:rPr>
          <w:rFonts w:hint="eastAsia" w:ascii="宋体"/>
          <w:sz w:val="24"/>
          <w:highlight w:val="none"/>
        </w:rPr>
      </w:pPr>
      <w:r>
        <w:rPr>
          <w:rFonts w:hint="eastAsia" w:ascii="宋体"/>
          <w:sz w:val="24"/>
          <w:highlight w:val="none"/>
        </w:rPr>
        <w:t>2.1 “比选人”系指依法进行政府采购的国家机关、事业单位、团体组织。本次比选的比选人是</w:t>
      </w:r>
      <w:r>
        <w:rPr>
          <w:rFonts w:hint="eastAsia" w:ascii="宋体"/>
          <w:sz w:val="24"/>
          <w:highlight w:val="none"/>
          <w:u w:val="single"/>
        </w:rPr>
        <w:t xml:space="preserve">  </w:t>
      </w:r>
      <w:r>
        <w:rPr>
          <w:rFonts w:hint="eastAsia" w:ascii="宋体"/>
          <w:b/>
          <w:bCs/>
          <w:sz w:val="24"/>
          <w:highlight w:val="none"/>
          <w:u w:val="single"/>
        </w:rPr>
        <w:t>四川省</w:t>
      </w:r>
      <w:r>
        <w:rPr>
          <w:rFonts w:hint="eastAsia" w:ascii="宋体"/>
          <w:b/>
          <w:bCs/>
          <w:sz w:val="24"/>
          <w:highlight w:val="none"/>
          <w:u w:val="single"/>
          <w:lang w:eastAsia="zh-CN"/>
        </w:rPr>
        <w:t>文物局</w:t>
      </w:r>
      <w:r>
        <w:rPr>
          <w:rFonts w:hint="eastAsia" w:ascii="宋体"/>
          <w:sz w:val="24"/>
          <w:highlight w:val="none"/>
          <w:u w:val="single"/>
        </w:rPr>
        <w:t xml:space="preserve">    </w:t>
      </w:r>
      <w:r>
        <w:rPr>
          <w:rFonts w:hint="eastAsia" w:ascii="宋体"/>
          <w:sz w:val="24"/>
          <w:highlight w:val="none"/>
        </w:rPr>
        <w:t>。</w:t>
      </w:r>
    </w:p>
    <w:p>
      <w:pPr>
        <w:tabs>
          <w:tab w:val="left" w:pos="7665"/>
        </w:tabs>
        <w:spacing w:line="400" w:lineRule="exact"/>
        <w:ind w:firstLine="480" w:firstLineChars="200"/>
        <w:rPr>
          <w:rFonts w:hint="eastAsia" w:ascii="宋体"/>
          <w:sz w:val="24"/>
          <w:highlight w:val="none"/>
        </w:rPr>
      </w:pPr>
      <w:r>
        <w:rPr>
          <w:rFonts w:hint="eastAsia" w:ascii="宋体"/>
          <w:sz w:val="24"/>
          <w:highlight w:val="none"/>
        </w:rPr>
        <w:t>2.3 “比选单位”系指“比选人”。</w:t>
      </w:r>
    </w:p>
    <w:p>
      <w:pPr>
        <w:tabs>
          <w:tab w:val="left" w:pos="7665"/>
        </w:tabs>
        <w:spacing w:line="400" w:lineRule="exact"/>
        <w:ind w:firstLine="480" w:firstLineChars="200"/>
        <w:rPr>
          <w:rFonts w:hint="eastAsia" w:ascii="宋体"/>
          <w:sz w:val="24"/>
          <w:highlight w:val="none"/>
        </w:rPr>
      </w:pPr>
      <w:r>
        <w:rPr>
          <w:rFonts w:hint="eastAsia" w:ascii="宋体"/>
          <w:sz w:val="24"/>
          <w:highlight w:val="none"/>
        </w:rPr>
        <w:t>2.4 “供应商”系指获取比选文件拟参加比选和向比选人提供货物及相应服务的供应商。</w:t>
      </w:r>
    </w:p>
    <w:p>
      <w:pPr>
        <w:pStyle w:val="6"/>
        <w:spacing w:line="400" w:lineRule="exact"/>
        <w:ind w:firstLine="481" w:firstLineChars="200"/>
        <w:rPr>
          <w:rFonts w:hint="eastAsia" w:ascii="宋体"/>
          <w:sz w:val="24"/>
          <w:highlight w:val="none"/>
        </w:rPr>
      </w:pPr>
      <w:bookmarkStart w:id="16" w:name="_Toc217446036"/>
      <w:bookmarkStart w:id="17" w:name="_Toc217390843"/>
      <w:bookmarkStart w:id="18" w:name="_Toc183582207"/>
      <w:bookmarkStart w:id="19" w:name="_Toc183682344"/>
      <w:r>
        <w:rPr>
          <w:rFonts w:hint="eastAsia" w:ascii="宋体"/>
          <w:sz w:val="24"/>
          <w:highlight w:val="none"/>
        </w:rPr>
        <w:t>3. 合格的</w:t>
      </w:r>
      <w:bookmarkEnd w:id="16"/>
      <w:bookmarkEnd w:id="17"/>
      <w:bookmarkEnd w:id="18"/>
      <w:bookmarkEnd w:id="19"/>
      <w:r>
        <w:rPr>
          <w:rFonts w:hint="eastAsia" w:ascii="宋体"/>
          <w:sz w:val="24"/>
          <w:highlight w:val="none"/>
        </w:rPr>
        <w:t>供应商</w:t>
      </w:r>
      <w:r>
        <w:rPr>
          <w:rFonts w:hint="eastAsia"/>
          <w:sz w:val="24"/>
          <w:szCs w:val="24"/>
          <w:highlight w:val="none"/>
        </w:rPr>
        <w:t>（实质性要求）</w:t>
      </w:r>
    </w:p>
    <w:p>
      <w:pPr>
        <w:tabs>
          <w:tab w:val="left" w:pos="7665"/>
        </w:tabs>
        <w:spacing w:line="400" w:lineRule="exact"/>
        <w:rPr>
          <w:rFonts w:hint="eastAsia" w:ascii="宋体"/>
          <w:sz w:val="24"/>
          <w:highlight w:val="none"/>
        </w:rPr>
      </w:pPr>
      <w:r>
        <w:rPr>
          <w:rFonts w:hint="eastAsia" w:ascii="宋体"/>
          <w:b/>
          <w:sz w:val="24"/>
          <w:highlight w:val="none"/>
        </w:rPr>
        <w:t xml:space="preserve">    </w:t>
      </w:r>
      <w:r>
        <w:rPr>
          <w:rFonts w:hint="eastAsia" w:ascii="宋体"/>
          <w:sz w:val="24"/>
          <w:highlight w:val="none"/>
        </w:rPr>
        <w:t>合格的供应商应具备以下条件：</w:t>
      </w:r>
    </w:p>
    <w:p>
      <w:pPr>
        <w:tabs>
          <w:tab w:val="left" w:pos="7665"/>
        </w:tabs>
        <w:spacing w:line="400" w:lineRule="exact"/>
        <w:ind w:firstLine="480" w:firstLineChars="200"/>
        <w:rPr>
          <w:rFonts w:hint="eastAsia" w:ascii="宋体"/>
          <w:spacing w:val="-4"/>
          <w:sz w:val="24"/>
          <w:highlight w:val="none"/>
        </w:rPr>
      </w:pPr>
      <w:r>
        <w:rPr>
          <w:rFonts w:hint="eastAsia" w:ascii="宋体"/>
          <w:sz w:val="24"/>
          <w:highlight w:val="none"/>
        </w:rPr>
        <w:t>（1）本比选文件规定的供应商资格条件</w:t>
      </w:r>
      <w:r>
        <w:rPr>
          <w:rFonts w:hint="eastAsia" w:ascii="宋体"/>
          <w:spacing w:val="-4"/>
          <w:sz w:val="24"/>
          <w:highlight w:val="none"/>
        </w:rPr>
        <w:t>；</w:t>
      </w:r>
    </w:p>
    <w:p>
      <w:pPr>
        <w:tabs>
          <w:tab w:val="left" w:pos="7665"/>
        </w:tabs>
        <w:spacing w:line="400" w:lineRule="exact"/>
        <w:rPr>
          <w:rFonts w:hint="eastAsia" w:ascii="宋体"/>
          <w:sz w:val="24"/>
          <w:highlight w:val="none"/>
        </w:rPr>
      </w:pPr>
      <w:r>
        <w:rPr>
          <w:rFonts w:hint="eastAsia" w:ascii="宋体"/>
          <w:sz w:val="24"/>
          <w:highlight w:val="none"/>
        </w:rPr>
        <w:t xml:space="preserve">    （2）遵守国家有关的法律、法规、规章和其他政策制度；</w:t>
      </w:r>
    </w:p>
    <w:p>
      <w:pPr>
        <w:pStyle w:val="6"/>
        <w:spacing w:line="400" w:lineRule="exact"/>
        <w:ind w:firstLine="481" w:firstLineChars="200"/>
        <w:rPr>
          <w:rFonts w:hint="eastAsia" w:ascii="宋体"/>
          <w:sz w:val="24"/>
          <w:highlight w:val="none"/>
        </w:rPr>
      </w:pPr>
      <w:r>
        <w:rPr>
          <w:rFonts w:hint="eastAsia" w:ascii="宋体"/>
          <w:sz w:val="24"/>
          <w:highlight w:val="none"/>
        </w:rPr>
        <w:t>4、充分、公平竞争保障措施</w:t>
      </w:r>
      <w:r>
        <w:rPr>
          <w:rFonts w:hint="eastAsia"/>
          <w:sz w:val="24"/>
          <w:szCs w:val="24"/>
          <w:highlight w:val="none"/>
        </w:rPr>
        <w:t>（实质性要求）</w:t>
      </w:r>
    </w:p>
    <w:p>
      <w:pPr>
        <w:pStyle w:val="44"/>
        <w:spacing w:line="460" w:lineRule="exact"/>
        <w:ind w:left="1" w:firstLine="481" w:firstLineChars="200"/>
        <w:rPr>
          <w:rFonts w:hint="eastAsia"/>
          <w:sz w:val="24"/>
          <w:highlight w:val="none"/>
        </w:rPr>
      </w:pPr>
      <w:r>
        <w:rPr>
          <w:rFonts w:hint="eastAsia"/>
          <w:b/>
          <w:sz w:val="24"/>
          <w:highlight w:val="none"/>
        </w:rPr>
        <w:t>4.1利害关系供应商处理。</w:t>
      </w:r>
      <w:r>
        <w:rPr>
          <w:rFonts w:hint="eastAsia"/>
          <w:sz w:val="24"/>
          <w:highlight w:val="none"/>
        </w:rPr>
        <w:t>单位负责人为同一人或者存在直接控股、管理关系的不同供应商不得参加同一合同项下的采购活动。</w:t>
      </w:r>
    </w:p>
    <w:p>
      <w:pPr>
        <w:pStyle w:val="44"/>
        <w:spacing w:line="460" w:lineRule="exact"/>
        <w:ind w:left="1" w:firstLine="481" w:firstLineChars="200"/>
        <w:rPr>
          <w:rFonts w:hint="eastAsia"/>
          <w:sz w:val="24"/>
          <w:highlight w:val="none"/>
        </w:rPr>
      </w:pPr>
      <w:r>
        <w:rPr>
          <w:rFonts w:hint="eastAsia"/>
          <w:b/>
          <w:sz w:val="24"/>
          <w:highlight w:val="none"/>
        </w:rPr>
        <w:t>4.2前期参与供应商处理。</w:t>
      </w:r>
      <w:r>
        <w:rPr>
          <w:rFonts w:hint="eastAsia"/>
          <w:sz w:val="24"/>
          <w:highlight w:val="none"/>
        </w:rPr>
        <w:t>为采购项目提供整体设计、规范编制或者项目管理、监理、检测等服务的供应商，不得再参加该采购项目的其他采购活动。供应商为比选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4"/>
        <w:spacing w:line="460" w:lineRule="exact"/>
        <w:ind w:left="1" w:firstLine="481" w:firstLineChars="200"/>
        <w:rPr>
          <w:rFonts w:hint="eastAsia"/>
          <w:sz w:val="24"/>
          <w:highlight w:val="none"/>
        </w:rPr>
      </w:pPr>
      <w:r>
        <w:rPr>
          <w:rFonts w:hint="eastAsia"/>
          <w:b/>
          <w:sz w:val="24"/>
          <w:highlight w:val="none"/>
        </w:rPr>
        <w:t>4.3 利害关系代理人处理。</w:t>
      </w:r>
      <w:r>
        <w:rPr>
          <w:rFonts w:hint="eastAsia"/>
          <w:sz w:val="24"/>
          <w:highlight w:val="none"/>
        </w:rPr>
        <w:t>2家以上的供应商不得在同一合同项下的采购项目中，同时委托同一个自然人、同一家庭的人员、同一单位的人员作为其代理人，否则，其比选</w:t>
      </w:r>
      <w:r>
        <w:rPr>
          <w:rFonts w:hint="eastAsia"/>
          <w:sz w:val="24"/>
          <w:highlight w:val="none"/>
          <w:lang w:eastAsia="zh-CN"/>
        </w:rPr>
        <w:t>申请</w:t>
      </w:r>
      <w:r>
        <w:rPr>
          <w:rFonts w:hint="eastAsia"/>
          <w:sz w:val="24"/>
          <w:highlight w:val="none"/>
        </w:rPr>
        <w:t>文件作为无效处理。</w:t>
      </w:r>
    </w:p>
    <w:p>
      <w:pPr>
        <w:pStyle w:val="5"/>
        <w:spacing w:line="400" w:lineRule="exact"/>
        <w:jc w:val="center"/>
        <w:rPr>
          <w:rFonts w:hint="eastAsia" w:ascii="黑体"/>
          <w:bCs w:val="0"/>
          <w:highlight w:val="none"/>
        </w:rPr>
      </w:pPr>
      <w:bookmarkStart w:id="20" w:name="_Toc217446038"/>
      <w:bookmarkStart w:id="21" w:name="_Toc89075875"/>
      <w:bookmarkStart w:id="22" w:name="_Toc183582209"/>
      <w:bookmarkStart w:id="23" w:name="_Toc77400779"/>
      <w:bookmarkStart w:id="24" w:name="_Toc183682346"/>
      <w:r>
        <w:rPr>
          <w:rFonts w:hint="eastAsia" w:ascii="黑体"/>
          <w:bCs w:val="0"/>
          <w:highlight w:val="none"/>
        </w:rPr>
        <w:t>三、比选文件</w:t>
      </w:r>
      <w:bookmarkEnd w:id="20"/>
      <w:bookmarkEnd w:id="21"/>
      <w:bookmarkEnd w:id="22"/>
      <w:bookmarkEnd w:id="23"/>
      <w:bookmarkEnd w:id="24"/>
    </w:p>
    <w:p>
      <w:pPr>
        <w:pStyle w:val="6"/>
        <w:spacing w:line="400" w:lineRule="exact"/>
        <w:ind w:firstLine="481" w:firstLineChars="200"/>
        <w:rPr>
          <w:rFonts w:hint="eastAsia" w:ascii="宋体"/>
          <w:sz w:val="24"/>
          <w:highlight w:val="none"/>
        </w:rPr>
      </w:pPr>
      <w:bookmarkStart w:id="25" w:name="_Toc217446039"/>
      <w:bookmarkStart w:id="26" w:name="_Toc183582210"/>
      <w:bookmarkStart w:id="27" w:name="_Toc183682347"/>
      <w:r>
        <w:rPr>
          <w:rFonts w:hint="eastAsia" w:ascii="宋体"/>
          <w:sz w:val="24"/>
          <w:highlight w:val="none"/>
        </w:rPr>
        <w:t>5．比选文件的构成</w:t>
      </w:r>
      <w:bookmarkEnd w:id="25"/>
      <w:bookmarkEnd w:id="26"/>
      <w:bookmarkEnd w:id="27"/>
    </w:p>
    <w:p>
      <w:pPr>
        <w:tabs>
          <w:tab w:val="left" w:pos="7665"/>
        </w:tabs>
        <w:spacing w:line="400" w:lineRule="exact"/>
        <w:rPr>
          <w:rFonts w:hint="eastAsia" w:ascii="宋体"/>
          <w:sz w:val="24"/>
          <w:highlight w:val="none"/>
        </w:rPr>
      </w:pPr>
      <w:r>
        <w:rPr>
          <w:rFonts w:hint="eastAsia" w:ascii="宋体"/>
          <w:sz w:val="24"/>
          <w:highlight w:val="none"/>
        </w:rPr>
        <w:t xml:space="preserve">   比选文件是供应商准备比选</w:t>
      </w:r>
      <w:r>
        <w:rPr>
          <w:rFonts w:hint="eastAsia" w:ascii="宋体"/>
          <w:sz w:val="24"/>
          <w:highlight w:val="none"/>
          <w:lang w:eastAsia="zh-CN"/>
        </w:rPr>
        <w:t>申请</w:t>
      </w:r>
      <w:r>
        <w:rPr>
          <w:rFonts w:hint="eastAsia" w:ascii="宋体"/>
          <w:sz w:val="24"/>
          <w:highlight w:val="none"/>
        </w:rPr>
        <w:t>文件和参加比选的依据，同时也是评标的重要依据，具有准法律文件性质。比选文件用以阐明比选项目所需的资质、技术、服务及报价等要求、比选程序、有关规定和注意事项以及合同主要条款等。本比选文件包括以下内容：</w:t>
      </w:r>
    </w:p>
    <w:p>
      <w:pPr>
        <w:tabs>
          <w:tab w:val="left" w:pos="720"/>
        </w:tabs>
        <w:spacing w:line="400" w:lineRule="exact"/>
        <w:ind w:firstLine="480" w:firstLineChars="200"/>
        <w:rPr>
          <w:rFonts w:hint="eastAsia" w:ascii="宋体"/>
          <w:sz w:val="24"/>
          <w:highlight w:val="none"/>
        </w:rPr>
      </w:pPr>
      <w:r>
        <w:rPr>
          <w:rFonts w:hint="eastAsia" w:ascii="宋体"/>
          <w:sz w:val="24"/>
          <w:highlight w:val="none"/>
        </w:rPr>
        <w:t>（一）比选邀请；</w:t>
      </w:r>
    </w:p>
    <w:p>
      <w:pPr>
        <w:tabs>
          <w:tab w:val="left" w:pos="720"/>
        </w:tabs>
        <w:spacing w:line="400" w:lineRule="exact"/>
        <w:ind w:firstLine="480" w:firstLineChars="200"/>
        <w:rPr>
          <w:rFonts w:hint="eastAsia" w:ascii="宋体"/>
          <w:sz w:val="24"/>
          <w:highlight w:val="none"/>
        </w:rPr>
      </w:pPr>
      <w:r>
        <w:rPr>
          <w:rFonts w:hint="eastAsia" w:ascii="宋体"/>
          <w:sz w:val="24"/>
          <w:highlight w:val="none"/>
        </w:rPr>
        <w:t>（二）供应商须知；</w:t>
      </w:r>
    </w:p>
    <w:p>
      <w:pPr>
        <w:tabs>
          <w:tab w:val="left" w:pos="720"/>
        </w:tabs>
        <w:spacing w:line="400" w:lineRule="exact"/>
        <w:ind w:firstLine="480" w:firstLineChars="200"/>
        <w:rPr>
          <w:rFonts w:hint="eastAsia" w:ascii="宋体"/>
          <w:sz w:val="24"/>
          <w:highlight w:val="none"/>
        </w:rPr>
      </w:pPr>
      <w:r>
        <w:rPr>
          <w:rFonts w:hint="eastAsia" w:ascii="宋体"/>
          <w:sz w:val="24"/>
          <w:highlight w:val="none"/>
        </w:rPr>
        <w:t>（三）比选</w:t>
      </w:r>
      <w:r>
        <w:rPr>
          <w:rFonts w:hint="eastAsia" w:ascii="宋体"/>
          <w:sz w:val="24"/>
          <w:highlight w:val="none"/>
          <w:lang w:eastAsia="zh-CN"/>
        </w:rPr>
        <w:t>申请</w:t>
      </w:r>
      <w:r>
        <w:rPr>
          <w:rFonts w:hint="eastAsia" w:ascii="宋体"/>
          <w:sz w:val="24"/>
          <w:highlight w:val="none"/>
        </w:rPr>
        <w:t>文件格式；</w:t>
      </w:r>
    </w:p>
    <w:p>
      <w:pPr>
        <w:tabs>
          <w:tab w:val="left" w:pos="720"/>
        </w:tabs>
        <w:spacing w:line="400" w:lineRule="exact"/>
        <w:ind w:firstLine="480" w:firstLineChars="200"/>
        <w:rPr>
          <w:rFonts w:hint="eastAsia" w:ascii="宋体"/>
          <w:sz w:val="24"/>
          <w:highlight w:val="none"/>
        </w:rPr>
      </w:pPr>
      <w:r>
        <w:rPr>
          <w:rFonts w:hint="eastAsia" w:ascii="宋体"/>
          <w:sz w:val="24"/>
          <w:highlight w:val="none"/>
        </w:rPr>
        <w:t>（四）供应商和比选产品的资格、资质性及其他类似效力要求；</w:t>
      </w:r>
    </w:p>
    <w:p>
      <w:pPr>
        <w:tabs>
          <w:tab w:val="left" w:pos="720"/>
        </w:tabs>
        <w:spacing w:line="400" w:lineRule="exact"/>
        <w:ind w:firstLine="480" w:firstLineChars="200"/>
        <w:rPr>
          <w:rFonts w:hint="eastAsia" w:ascii="宋体"/>
          <w:sz w:val="24"/>
          <w:highlight w:val="none"/>
        </w:rPr>
      </w:pPr>
      <w:r>
        <w:rPr>
          <w:rFonts w:hint="eastAsia" w:ascii="宋体"/>
          <w:sz w:val="24"/>
          <w:highlight w:val="none"/>
        </w:rPr>
        <w:t>（五）供应商应当提供的资格、资质性及其他类似效力要求的相关证明材料；</w:t>
      </w:r>
    </w:p>
    <w:p>
      <w:pPr>
        <w:tabs>
          <w:tab w:val="left" w:pos="720"/>
        </w:tabs>
        <w:spacing w:line="400" w:lineRule="exact"/>
        <w:ind w:firstLine="480" w:firstLineChars="200"/>
        <w:rPr>
          <w:rFonts w:hint="eastAsia" w:ascii="宋体"/>
          <w:sz w:val="24"/>
          <w:highlight w:val="none"/>
        </w:rPr>
      </w:pPr>
      <w:r>
        <w:rPr>
          <w:rFonts w:hint="eastAsia" w:ascii="宋体"/>
          <w:sz w:val="24"/>
          <w:highlight w:val="none"/>
        </w:rPr>
        <w:t>（六）比选项目服务、商务及其他要求；</w:t>
      </w:r>
    </w:p>
    <w:p>
      <w:pPr>
        <w:tabs>
          <w:tab w:val="left" w:pos="720"/>
        </w:tabs>
        <w:spacing w:line="400" w:lineRule="exact"/>
        <w:ind w:firstLine="480" w:firstLineChars="200"/>
        <w:rPr>
          <w:rFonts w:hint="eastAsia" w:ascii="宋体"/>
          <w:sz w:val="24"/>
          <w:highlight w:val="none"/>
        </w:rPr>
      </w:pPr>
      <w:r>
        <w:rPr>
          <w:rFonts w:hint="eastAsia" w:ascii="宋体"/>
          <w:sz w:val="24"/>
          <w:highlight w:val="none"/>
        </w:rPr>
        <w:t>（七）评标办法；</w:t>
      </w:r>
    </w:p>
    <w:p>
      <w:pPr>
        <w:tabs>
          <w:tab w:val="left" w:pos="720"/>
        </w:tabs>
        <w:spacing w:line="400" w:lineRule="exact"/>
        <w:ind w:firstLine="480" w:firstLineChars="200"/>
        <w:rPr>
          <w:rFonts w:hint="eastAsia" w:ascii="宋体"/>
          <w:sz w:val="24"/>
          <w:highlight w:val="none"/>
        </w:rPr>
      </w:pPr>
      <w:r>
        <w:rPr>
          <w:rFonts w:hint="eastAsia" w:ascii="宋体"/>
          <w:sz w:val="24"/>
          <w:highlight w:val="none"/>
        </w:rPr>
        <w:t>（八）合同主要条款。</w:t>
      </w:r>
    </w:p>
    <w:p>
      <w:pPr>
        <w:pStyle w:val="6"/>
        <w:spacing w:line="400" w:lineRule="exact"/>
        <w:ind w:firstLine="481" w:firstLineChars="200"/>
        <w:rPr>
          <w:rFonts w:hint="eastAsia" w:ascii="宋体"/>
          <w:sz w:val="24"/>
          <w:highlight w:val="none"/>
        </w:rPr>
      </w:pPr>
      <w:bookmarkStart w:id="28" w:name="_Toc183682348"/>
      <w:bookmarkStart w:id="29" w:name="_Toc183582211"/>
      <w:bookmarkStart w:id="30" w:name="_Toc217446040"/>
      <w:r>
        <w:rPr>
          <w:rFonts w:hint="eastAsia" w:ascii="宋体"/>
          <w:sz w:val="24"/>
          <w:highlight w:val="none"/>
        </w:rPr>
        <w:t>6. 比选文件的澄清</w:t>
      </w:r>
      <w:bookmarkEnd w:id="28"/>
      <w:bookmarkEnd w:id="29"/>
      <w:r>
        <w:rPr>
          <w:rFonts w:hint="eastAsia" w:ascii="宋体"/>
          <w:sz w:val="24"/>
          <w:highlight w:val="none"/>
        </w:rPr>
        <w:t>和修改</w:t>
      </w:r>
      <w:bookmarkEnd w:id="30"/>
    </w:p>
    <w:p>
      <w:pPr>
        <w:tabs>
          <w:tab w:val="left" w:pos="7665"/>
        </w:tabs>
        <w:spacing w:line="400" w:lineRule="exact"/>
        <w:ind w:firstLine="480" w:firstLineChars="200"/>
        <w:rPr>
          <w:rFonts w:hint="eastAsia" w:ascii="宋体"/>
          <w:sz w:val="24"/>
          <w:highlight w:val="none"/>
        </w:rPr>
      </w:pPr>
      <w:r>
        <w:rPr>
          <w:rFonts w:hint="eastAsia" w:ascii="宋体"/>
          <w:sz w:val="24"/>
          <w:highlight w:val="none"/>
        </w:rPr>
        <w:t>6.1 比选采购单位可以依法对比选文件进行澄清或者修改。</w:t>
      </w:r>
    </w:p>
    <w:p>
      <w:pPr>
        <w:tabs>
          <w:tab w:val="left" w:pos="7665"/>
        </w:tabs>
        <w:spacing w:line="400" w:lineRule="exact"/>
        <w:ind w:firstLine="480" w:firstLineChars="200"/>
        <w:rPr>
          <w:rFonts w:hint="eastAsia" w:ascii="宋体"/>
          <w:sz w:val="24"/>
          <w:highlight w:val="none"/>
        </w:rPr>
      </w:pPr>
      <w:r>
        <w:rPr>
          <w:rFonts w:hint="eastAsia" w:ascii="宋体"/>
          <w:sz w:val="24"/>
          <w:highlight w:val="none"/>
        </w:rPr>
        <w:t>6.2 比选采购单位对已发出的比选文件进行澄清或者修改，应当以书面形式将澄清或者修改的内容通知所有获取了比选文件的供应商，同时在</w:t>
      </w:r>
      <w:r>
        <w:rPr>
          <w:rFonts w:hint="eastAsia" w:ascii="宋体" w:hAnsi="宋体" w:cs="宋体"/>
          <w:spacing w:val="8"/>
          <w:sz w:val="24"/>
          <w:highlight w:val="none"/>
        </w:rPr>
        <w:t>四川省文物局网站http://wwj.sc.gov.cn/</w:t>
      </w:r>
      <w:r>
        <w:rPr>
          <w:rFonts w:hint="eastAsia" w:ascii="宋体"/>
          <w:sz w:val="24"/>
          <w:highlight w:val="none"/>
        </w:rPr>
        <w:t>发布更正公告。该澄清或者修改的内容为比选文件的组成部分，澄清或者修改的内容可能影响比选</w:t>
      </w:r>
      <w:r>
        <w:rPr>
          <w:rFonts w:hint="eastAsia" w:ascii="宋体"/>
          <w:sz w:val="24"/>
          <w:highlight w:val="none"/>
          <w:lang w:eastAsia="zh-CN"/>
        </w:rPr>
        <w:t>申请</w:t>
      </w:r>
      <w:r>
        <w:rPr>
          <w:rFonts w:hint="eastAsia" w:ascii="宋体"/>
          <w:sz w:val="24"/>
          <w:highlight w:val="none"/>
        </w:rPr>
        <w:t>文件、资格预审申请文件编制的，比选人发布公告并书面通知供应商的时间，应当在比选截止时间至少7日前、提交资格预审申请文件截止时间至少３日前；不足上述时间的，应当顺延提交比选</w:t>
      </w:r>
      <w:r>
        <w:rPr>
          <w:rFonts w:hint="eastAsia" w:ascii="宋体"/>
          <w:sz w:val="24"/>
          <w:highlight w:val="none"/>
          <w:lang w:eastAsia="zh-CN"/>
        </w:rPr>
        <w:t>申请</w:t>
      </w:r>
      <w:r>
        <w:rPr>
          <w:rFonts w:hint="eastAsia" w:ascii="宋体"/>
          <w:sz w:val="24"/>
          <w:highlight w:val="none"/>
        </w:rPr>
        <w:t>文件、资格预审申请文件的截止时间。</w:t>
      </w:r>
    </w:p>
    <w:p>
      <w:pPr>
        <w:tabs>
          <w:tab w:val="left" w:pos="7665"/>
        </w:tabs>
        <w:spacing w:line="400" w:lineRule="exact"/>
        <w:ind w:firstLine="480" w:firstLineChars="200"/>
        <w:rPr>
          <w:rFonts w:hint="eastAsia" w:ascii="宋体"/>
          <w:sz w:val="24"/>
          <w:highlight w:val="none"/>
        </w:rPr>
      </w:pPr>
      <w:r>
        <w:rPr>
          <w:rFonts w:hint="eastAsia" w:ascii="宋体"/>
          <w:sz w:val="24"/>
          <w:highlight w:val="none"/>
        </w:rPr>
        <w:t>6.3 供应商认为需要对比选</w:t>
      </w:r>
      <w:r>
        <w:rPr>
          <w:rFonts w:hint="eastAsia" w:ascii="宋体"/>
          <w:sz w:val="24"/>
          <w:highlight w:val="none"/>
          <w:lang w:eastAsia="zh-CN"/>
        </w:rPr>
        <w:t>申请</w:t>
      </w:r>
      <w:r>
        <w:rPr>
          <w:rFonts w:hint="eastAsia" w:ascii="宋体"/>
          <w:sz w:val="24"/>
          <w:highlight w:val="none"/>
        </w:rPr>
        <w:t>文件进行澄清或者修改的，可以以书面形式向比选单位构提出申请，但比选采购单位可以决定是否采纳供应商的申请事项。</w:t>
      </w:r>
    </w:p>
    <w:p>
      <w:pPr>
        <w:pStyle w:val="6"/>
        <w:spacing w:line="400" w:lineRule="exact"/>
        <w:ind w:firstLine="481" w:firstLineChars="200"/>
        <w:rPr>
          <w:rFonts w:hint="eastAsia" w:ascii="宋体"/>
          <w:sz w:val="24"/>
          <w:highlight w:val="none"/>
        </w:rPr>
      </w:pPr>
      <w:bookmarkStart w:id="31" w:name="_Toc217446041"/>
      <w:bookmarkStart w:id="32" w:name="_Toc208848971"/>
      <w:r>
        <w:rPr>
          <w:rFonts w:hint="eastAsia" w:ascii="宋体"/>
          <w:sz w:val="24"/>
          <w:highlight w:val="none"/>
        </w:rPr>
        <w:t>7. 答疑会和现场考察</w:t>
      </w:r>
      <w:bookmarkEnd w:id="31"/>
      <w:bookmarkEnd w:id="32"/>
    </w:p>
    <w:p>
      <w:pPr>
        <w:tabs>
          <w:tab w:val="left" w:pos="7665"/>
        </w:tabs>
        <w:spacing w:line="400" w:lineRule="exact"/>
        <w:ind w:firstLine="480" w:firstLineChars="200"/>
        <w:rPr>
          <w:rFonts w:hint="eastAsia" w:ascii="宋体"/>
          <w:sz w:val="24"/>
          <w:highlight w:val="none"/>
        </w:rPr>
      </w:pPr>
      <w:r>
        <w:rPr>
          <w:rFonts w:hint="eastAsia" w:ascii="宋体"/>
          <w:sz w:val="24"/>
          <w:highlight w:val="none"/>
        </w:rPr>
        <w:t>7.1 根据采购项目和具体情况，比选单位认为有必要，可以在比选文件提供期限截止后，组织已获取比选文件的潜在供应商现场考察或者召开比选前答疑会。组织现场考察或者召开答疑会的，应当以书面形式通知所有获取比选文件的潜在供应商。</w:t>
      </w:r>
    </w:p>
    <w:p>
      <w:pPr>
        <w:tabs>
          <w:tab w:val="left" w:pos="7665"/>
        </w:tabs>
        <w:spacing w:line="400" w:lineRule="exact"/>
        <w:ind w:firstLine="480" w:firstLineChars="200"/>
        <w:rPr>
          <w:rFonts w:hint="eastAsia" w:ascii="宋体"/>
          <w:sz w:val="24"/>
          <w:highlight w:val="none"/>
        </w:rPr>
      </w:pPr>
      <w:r>
        <w:rPr>
          <w:rFonts w:hint="eastAsia" w:ascii="宋体"/>
          <w:sz w:val="24"/>
          <w:highlight w:val="none"/>
        </w:rPr>
        <w:t>7.2 供应商考察现场所发生的一切费用由供应商自己承担。</w:t>
      </w:r>
    </w:p>
    <w:p>
      <w:pPr>
        <w:pStyle w:val="5"/>
        <w:spacing w:line="400" w:lineRule="exact"/>
        <w:jc w:val="center"/>
        <w:rPr>
          <w:rFonts w:hint="eastAsia" w:ascii="黑体"/>
          <w:bCs w:val="0"/>
          <w:highlight w:val="none"/>
        </w:rPr>
      </w:pPr>
      <w:bookmarkStart w:id="33" w:name="_Toc183682351"/>
      <w:bookmarkStart w:id="34" w:name="_Toc77400780"/>
      <w:bookmarkStart w:id="35" w:name="_Toc183582214"/>
      <w:bookmarkStart w:id="36" w:name="_Toc217446042"/>
      <w:bookmarkStart w:id="37" w:name="_Toc89075876"/>
      <w:r>
        <w:rPr>
          <w:rFonts w:hint="eastAsia" w:ascii="黑体"/>
          <w:bCs w:val="0"/>
          <w:highlight w:val="none"/>
        </w:rPr>
        <w:t>四、比选</w:t>
      </w:r>
      <w:r>
        <w:rPr>
          <w:rFonts w:hint="eastAsia" w:ascii="黑体"/>
          <w:bCs w:val="0"/>
          <w:highlight w:val="none"/>
          <w:lang w:eastAsia="zh-CN"/>
        </w:rPr>
        <w:t>申请</w:t>
      </w:r>
      <w:r>
        <w:rPr>
          <w:rFonts w:hint="eastAsia" w:ascii="黑体"/>
          <w:bCs w:val="0"/>
          <w:highlight w:val="none"/>
        </w:rPr>
        <w:t>文件</w:t>
      </w:r>
      <w:bookmarkEnd w:id="33"/>
      <w:bookmarkEnd w:id="34"/>
      <w:bookmarkEnd w:id="35"/>
      <w:bookmarkEnd w:id="36"/>
      <w:bookmarkEnd w:id="37"/>
    </w:p>
    <w:p>
      <w:pPr>
        <w:pStyle w:val="6"/>
        <w:spacing w:line="400" w:lineRule="exact"/>
        <w:ind w:firstLine="481" w:firstLineChars="200"/>
        <w:rPr>
          <w:rFonts w:hint="eastAsia" w:ascii="宋体"/>
          <w:bCs w:val="0"/>
          <w:sz w:val="24"/>
          <w:highlight w:val="none"/>
        </w:rPr>
      </w:pPr>
      <w:bookmarkStart w:id="38" w:name="_Toc183682352"/>
      <w:bookmarkStart w:id="39" w:name="_Toc217446043"/>
      <w:bookmarkStart w:id="40" w:name="_Toc183582215"/>
      <w:r>
        <w:rPr>
          <w:rFonts w:hint="eastAsia" w:ascii="宋体"/>
          <w:bCs w:val="0"/>
          <w:sz w:val="24"/>
          <w:highlight w:val="none"/>
        </w:rPr>
        <w:t>8．比选</w:t>
      </w:r>
      <w:r>
        <w:rPr>
          <w:rFonts w:hint="eastAsia" w:ascii="宋体"/>
          <w:bCs w:val="0"/>
          <w:sz w:val="24"/>
          <w:highlight w:val="none"/>
          <w:lang w:eastAsia="zh-CN"/>
        </w:rPr>
        <w:t>申请</w:t>
      </w:r>
      <w:r>
        <w:rPr>
          <w:rFonts w:hint="eastAsia" w:ascii="宋体"/>
          <w:bCs w:val="0"/>
          <w:sz w:val="24"/>
          <w:highlight w:val="none"/>
        </w:rPr>
        <w:t>文件的语言</w:t>
      </w:r>
      <w:bookmarkEnd w:id="38"/>
      <w:bookmarkEnd w:id="39"/>
      <w:bookmarkEnd w:id="40"/>
      <w:r>
        <w:rPr>
          <w:rFonts w:hint="eastAsia"/>
          <w:sz w:val="24"/>
          <w:szCs w:val="24"/>
          <w:highlight w:val="none"/>
        </w:rPr>
        <w:t>（实质性要求）</w:t>
      </w:r>
    </w:p>
    <w:p>
      <w:pPr>
        <w:tabs>
          <w:tab w:val="left" w:pos="1134"/>
        </w:tabs>
        <w:spacing w:line="360" w:lineRule="auto"/>
        <w:ind w:firstLine="480" w:firstLineChars="200"/>
        <w:jc w:val="left"/>
        <w:rPr>
          <w:rFonts w:hint="eastAsia" w:ascii="宋体"/>
          <w:sz w:val="24"/>
          <w:highlight w:val="none"/>
        </w:rPr>
      </w:pPr>
      <w:bookmarkStart w:id="41" w:name="_Toc183682353"/>
      <w:bookmarkStart w:id="42" w:name="_Toc183582216"/>
      <w:bookmarkStart w:id="43" w:name="_Toc217446044"/>
      <w:r>
        <w:rPr>
          <w:rFonts w:hint="eastAsia" w:ascii="宋体"/>
          <w:sz w:val="24"/>
          <w:highlight w:val="none"/>
        </w:rPr>
        <w:t>8.1 供应商提交的比选</w:t>
      </w:r>
      <w:r>
        <w:rPr>
          <w:rFonts w:hint="eastAsia" w:ascii="宋体"/>
          <w:sz w:val="24"/>
          <w:highlight w:val="none"/>
          <w:lang w:eastAsia="zh-CN"/>
        </w:rPr>
        <w:t>申请</w:t>
      </w:r>
      <w:r>
        <w:rPr>
          <w:rFonts w:hint="eastAsia" w:ascii="宋体"/>
          <w:sz w:val="24"/>
          <w:highlight w:val="none"/>
        </w:rPr>
        <w:t>文件以及供应商与比选单位就有关比选的所有来往书面文件均须使用中文。比选</w:t>
      </w:r>
      <w:r>
        <w:rPr>
          <w:rFonts w:hint="eastAsia" w:ascii="宋体"/>
          <w:sz w:val="24"/>
          <w:highlight w:val="none"/>
          <w:lang w:eastAsia="zh-CN"/>
        </w:rPr>
        <w:t>申请</w:t>
      </w:r>
      <w:r>
        <w:rPr>
          <w:rFonts w:hint="eastAsia" w:ascii="宋体"/>
          <w:sz w:val="24"/>
          <w:highlight w:val="none"/>
        </w:rPr>
        <w:t>文件中如附有外文资料，主要部分对应翻译成中文并加盖供应商公章后附在相关外文资料后面。</w:t>
      </w:r>
    </w:p>
    <w:p>
      <w:pPr>
        <w:tabs>
          <w:tab w:val="left" w:pos="1134"/>
        </w:tabs>
        <w:spacing w:line="360" w:lineRule="auto"/>
        <w:ind w:firstLine="480" w:firstLineChars="200"/>
        <w:jc w:val="left"/>
        <w:rPr>
          <w:rFonts w:hint="eastAsia" w:ascii="宋体"/>
          <w:sz w:val="24"/>
          <w:highlight w:val="none"/>
        </w:rPr>
      </w:pPr>
      <w:r>
        <w:rPr>
          <w:rFonts w:hint="eastAsia" w:ascii="宋体"/>
          <w:sz w:val="24"/>
          <w:highlight w:val="none"/>
        </w:rPr>
        <w:t>8.2 翻译的中文资料与外文资料如果出现差异和矛盾时，以中文为准。涉嫌虚假响应的按照相关法律法规处理。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8.3如因未翻译而造成的废标，由供应商承担。</w:t>
      </w:r>
    </w:p>
    <w:p>
      <w:pPr>
        <w:pStyle w:val="6"/>
        <w:spacing w:line="400" w:lineRule="exact"/>
        <w:ind w:firstLine="481" w:firstLineChars="200"/>
        <w:rPr>
          <w:rFonts w:hint="eastAsia" w:ascii="宋体"/>
          <w:sz w:val="24"/>
          <w:highlight w:val="none"/>
        </w:rPr>
      </w:pPr>
      <w:r>
        <w:rPr>
          <w:rFonts w:hint="eastAsia" w:ascii="宋体"/>
          <w:sz w:val="24"/>
          <w:highlight w:val="none"/>
        </w:rPr>
        <w:t>9．计量单位</w:t>
      </w:r>
      <w:bookmarkEnd w:id="41"/>
      <w:bookmarkEnd w:id="42"/>
      <w:bookmarkEnd w:id="43"/>
      <w:r>
        <w:rPr>
          <w:rFonts w:hint="eastAsia"/>
          <w:sz w:val="24"/>
          <w:szCs w:val="24"/>
          <w:highlight w:val="none"/>
        </w:rPr>
        <w:t>（实质性要求）</w:t>
      </w:r>
    </w:p>
    <w:p>
      <w:pPr>
        <w:spacing w:line="400" w:lineRule="exact"/>
        <w:ind w:firstLine="470" w:firstLineChars="196"/>
        <w:rPr>
          <w:rFonts w:hint="eastAsia" w:ascii="宋体"/>
          <w:sz w:val="24"/>
          <w:highlight w:val="none"/>
        </w:rPr>
      </w:pPr>
      <w:r>
        <w:rPr>
          <w:rFonts w:hint="eastAsia" w:ascii="宋体"/>
          <w:sz w:val="24"/>
          <w:highlight w:val="none"/>
        </w:rPr>
        <w:t>除比选文件中另有规定外，本次采购项目所有合同项下的比选均采用国家法定的计量单位。</w:t>
      </w:r>
    </w:p>
    <w:p>
      <w:pPr>
        <w:pStyle w:val="6"/>
        <w:spacing w:line="400" w:lineRule="exact"/>
        <w:rPr>
          <w:rFonts w:hint="eastAsia" w:ascii="宋体"/>
          <w:sz w:val="24"/>
          <w:szCs w:val="24"/>
          <w:highlight w:val="none"/>
        </w:rPr>
      </w:pPr>
      <w:r>
        <w:rPr>
          <w:rFonts w:hint="eastAsia"/>
          <w:highlight w:val="none"/>
        </w:rPr>
        <w:t xml:space="preserve"> </w:t>
      </w:r>
      <w:bookmarkStart w:id="44" w:name="_Toc217446045"/>
      <w:r>
        <w:rPr>
          <w:rFonts w:hint="eastAsia"/>
          <w:highlight w:val="none"/>
        </w:rPr>
        <w:t xml:space="preserve">  </w:t>
      </w:r>
      <w:r>
        <w:rPr>
          <w:rFonts w:hint="eastAsia"/>
          <w:sz w:val="24"/>
          <w:szCs w:val="24"/>
          <w:highlight w:val="none"/>
        </w:rPr>
        <w:t>10. 比选货币</w:t>
      </w:r>
      <w:bookmarkEnd w:id="44"/>
      <w:r>
        <w:rPr>
          <w:rFonts w:hint="eastAsia"/>
          <w:sz w:val="24"/>
          <w:szCs w:val="24"/>
          <w:highlight w:val="none"/>
        </w:rPr>
        <w:t>（实质性要求）</w:t>
      </w:r>
    </w:p>
    <w:p>
      <w:pPr>
        <w:tabs>
          <w:tab w:val="left" w:pos="7665"/>
        </w:tabs>
        <w:spacing w:line="400" w:lineRule="exact"/>
        <w:ind w:left="13" w:hanging="118"/>
        <w:rPr>
          <w:rFonts w:hint="eastAsia" w:ascii="宋体"/>
          <w:sz w:val="24"/>
          <w:highlight w:val="none"/>
        </w:rPr>
      </w:pPr>
      <w:r>
        <w:rPr>
          <w:rFonts w:hint="eastAsia" w:ascii="宋体"/>
          <w:b/>
          <w:sz w:val="24"/>
          <w:highlight w:val="none"/>
        </w:rPr>
        <w:t xml:space="preserve">    </w:t>
      </w:r>
      <w:r>
        <w:rPr>
          <w:rFonts w:hint="eastAsia" w:ascii="宋体"/>
          <w:sz w:val="24"/>
          <w:highlight w:val="none"/>
        </w:rPr>
        <w:t xml:space="preserve"> 本次比选项目的比选均以人民币报价。</w:t>
      </w:r>
      <w:bookmarkStart w:id="45" w:name="_Toc217446047"/>
    </w:p>
    <w:p>
      <w:pPr>
        <w:pStyle w:val="6"/>
        <w:spacing w:line="400" w:lineRule="exact"/>
        <w:ind w:firstLine="240" w:firstLineChars="100"/>
        <w:rPr>
          <w:rFonts w:hint="eastAsia" w:ascii="宋体"/>
          <w:bCs w:val="0"/>
          <w:sz w:val="24"/>
          <w:szCs w:val="24"/>
          <w:highlight w:val="none"/>
        </w:rPr>
      </w:pPr>
      <w:r>
        <w:rPr>
          <w:rFonts w:hint="eastAsia" w:ascii="宋体"/>
          <w:sz w:val="24"/>
          <w:szCs w:val="24"/>
          <w:highlight w:val="none"/>
        </w:rPr>
        <w:t>　</w:t>
      </w:r>
      <w:bookmarkStart w:id="46" w:name="_Toc308164797"/>
      <w:r>
        <w:rPr>
          <w:rFonts w:hint="eastAsia"/>
          <w:sz w:val="24"/>
          <w:szCs w:val="24"/>
          <w:highlight w:val="none"/>
        </w:rPr>
        <w:t>11. 知识产权</w:t>
      </w:r>
      <w:bookmarkEnd w:id="45"/>
      <w:bookmarkEnd w:id="46"/>
      <w:r>
        <w:rPr>
          <w:rFonts w:hint="eastAsia"/>
          <w:sz w:val="24"/>
          <w:szCs w:val="24"/>
          <w:highlight w:val="none"/>
        </w:rPr>
        <w:t>（实质性要求）</w:t>
      </w:r>
    </w:p>
    <w:p>
      <w:pPr>
        <w:pStyle w:val="11"/>
        <w:spacing w:line="400" w:lineRule="exact"/>
        <w:ind w:firstLine="480" w:firstLineChars="200"/>
        <w:rPr>
          <w:rFonts w:hint="eastAsia" w:ascii="宋体"/>
          <w:sz w:val="24"/>
          <w:szCs w:val="24"/>
          <w:highlight w:val="none"/>
        </w:rPr>
      </w:pPr>
      <w:r>
        <w:rPr>
          <w:rFonts w:hint="eastAsia" w:ascii="宋体"/>
          <w:sz w:val="24"/>
          <w:szCs w:val="24"/>
          <w:highlight w:val="none"/>
        </w:rPr>
        <w:t>11.1 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11"/>
        <w:spacing w:line="400" w:lineRule="exact"/>
        <w:ind w:firstLine="480" w:firstLineChars="200"/>
        <w:rPr>
          <w:rFonts w:hint="eastAsia" w:ascii="宋体"/>
          <w:sz w:val="24"/>
          <w:szCs w:val="24"/>
          <w:highlight w:val="none"/>
        </w:rPr>
      </w:pPr>
      <w:r>
        <w:rPr>
          <w:rFonts w:hint="eastAsia" w:ascii="宋体"/>
          <w:sz w:val="24"/>
          <w:szCs w:val="24"/>
          <w:highlight w:val="none"/>
        </w:rPr>
        <w:t>11.2 比选人享有本项目实施过程中产生的知识成果及知识产权。</w:t>
      </w:r>
    </w:p>
    <w:p>
      <w:pPr>
        <w:spacing w:line="400" w:lineRule="exact"/>
        <w:ind w:firstLine="480" w:firstLineChars="200"/>
        <w:rPr>
          <w:rFonts w:hint="eastAsia" w:ascii="宋体"/>
          <w:sz w:val="24"/>
          <w:highlight w:val="none"/>
        </w:rPr>
      </w:pPr>
      <w:r>
        <w:rPr>
          <w:rFonts w:hint="eastAsia" w:ascii="宋体"/>
          <w:sz w:val="24"/>
          <w:highlight w:val="none"/>
        </w:rPr>
        <w:t>11.3 供应商如欲在项目实施过程中采用自有知识成果，需在比选</w:t>
      </w:r>
      <w:r>
        <w:rPr>
          <w:rFonts w:hint="eastAsia" w:ascii="宋体"/>
          <w:sz w:val="24"/>
          <w:highlight w:val="none"/>
          <w:lang w:eastAsia="zh-CN"/>
        </w:rPr>
        <w:t>申请</w:t>
      </w:r>
      <w:r>
        <w:rPr>
          <w:rFonts w:hint="eastAsia" w:ascii="宋体"/>
          <w:sz w:val="24"/>
          <w:highlight w:val="none"/>
        </w:rPr>
        <w:t>文件中声明，并提供相关知识产权证明文件。使用该知识成果后，供应商需提供开发接口和开发手册等技术文档，并承诺提供无限期技术支持，比选人享有永久使用权（含比选人委托第三方在该项目后续开发的使用权）。</w:t>
      </w:r>
    </w:p>
    <w:p>
      <w:pPr>
        <w:spacing w:line="400" w:lineRule="exact"/>
        <w:ind w:firstLine="460" w:firstLineChars="192"/>
        <w:rPr>
          <w:rFonts w:hint="eastAsia" w:ascii="宋体"/>
          <w:sz w:val="24"/>
          <w:highlight w:val="none"/>
        </w:rPr>
      </w:pPr>
      <w:r>
        <w:rPr>
          <w:rFonts w:hint="eastAsia" w:ascii="宋体"/>
          <w:sz w:val="24"/>
          <w:highlight w:val="none"/>
        </w:rPr>
        <w:t xml:space="preserve">11.4 如采用供应商所不拥有的知识产权，则在比选报价中必须包括合法获取该知识产权的相关费用。 </w:t>
      </w:r>
    </w:p>
    <w:p>
      <w:pPr>
        <w:pStyle w:val="6"/>
        <w:spacing w:line="400" w:lineRule="exact"/>
        <w:ind w:firstLine="481" w:firstLineChars="200"/>
        <w:rPr>
          <w:rFonts w:hint="eastAsia" w:ascii="宋体"/>
          <w:sz w:val="24"/>
          <w:highlight w:val="none"/>
        </w:rPr>
      </w:pPr>
      <w:bookmarkStart w:id="47" w:name="_Toc183582217"/>
      <w:bookmarkStart w:id="48" w:name="_Toc183682354"/>
      <w:bookmarkStart w:id="49" w:name="_Toc217446048"/>
      <w:bookmarkStart w:id="50" w:name="_Toc308164798"/>
      <w:r>
        <w:rPr>
          <w:rFonts w:hint="eastAsia" w:ascii="宋体"/>
          <w:sz w:val="24"/>
          <w:highlight w:val="none"/>
        </w:rPr>
        <w:t>12．比选</w:t>
      </w:r>
      <w:r>
        <w:rPr>
          <w:rFonts w:hint="eastAsia" w:ascii="宋体"/>
          <w:sz w:val="24"/>
          <w:highlight w:val="none"/>
          <w:lang w:eastAsia="zh-CN"/>
        </w:rPr>
        <w:t>申请</w:t>
      </w:r>
      <w:r>
        <w:rPr>
          <w:rFonts w:hint="eastAsia" w:ascii="宋体"/>
          <w:sz w:val="24"/>
          <w:highlight w:val="none"/>
        </w:rPr>
        <w:t>文件的组成</w:t>
      </w:r>
      <w:bookmarkEnd w:id="47"/>
      <w:bookmarkEnd w:id="48"/>
      <w:bookmarkEnd w:id="49"/>
      <w:bookmarkEnd w:id="50"/>
    </w:p>
    <w:p>
      <w:pPr>
        <w:spacing w:line="400" w:lineRule="exact"/>
        <w:ind w:firstLine="411" w:firstLineChars="196"/>
        <w:rPr>
          <w:rFonts w:hint="eastAsia" w:ascii="宋体"/>
          <w:sz w:val="24"/>
          <w:highlight w:val="none"/>
        </w:rPr>
      </w:pPr>
      <w:r>
        <w:rPr>
          <w:rFonts w:hint="eastAsia"/>
          <w:highlight w:val="none"/>
        </w:rPr>
        <w:t xml:space="preserve"> </w:t>
      </w:r>
      <w:r>
        <w:rPr>
          <w:rFonts w:hint="eastAsia" w:ascii="宋体"/>
          <w:sz w:val="24"/>
          <w:highlight w:val="none"/>
        </w:rPr>
        <w:t>供应商应按照比选文件的规定和要求编制比选</w:t>
      </w:r>
      <w:r>
        <w:rPr>
          <w:rFonts w:hint="eastAsia" w:ascii="宋体"/>
          <w:sz w:val="24"/>
          <w:highlight w:val="none"/>
          <w:lang w:eastAsia="zh-CN"/>
        </w:rPr>
        <w:t>申请</w:t>
      </w:r>
      <w:r>
        <w:rPr>
          <w:rFonts w:hint="eastAsia" w:ascii="宋体"/>
          <w:sz w:val="24"/>
          <w:highlight w:val="none"/>
        </w:rPr>
        <w:t>文件。供应商拟在中标后将中标项目的非主体、非关键性工作交由他人分包完成的，应当在比选</w:t>
      </w:r>
      <w:r>
        <w:rPr>
          <w:rFonts w:hint="eastAsia" w:ascii="宋体"/>
          <w:sz w:val="24"/>
          <w:highlight w:val="none"/>
          <w:lang w:eastAsia="zh-CN"/>
        </w:rPr>
        <w:t>申请</w:t>
      </w:r>
      <w:r>
        <w:rPr>
          <w:rFonts w:hint="eastAsia" w:ascii="宋体"/>
          <w:sz w:val="24"/>
          <w:highlight w:val="none"/>
        </w:rPr>
        <w:t>文件中载明。供应商编写的比选</w:t>
      </w:r>
      <w:r>
        <w:rPr>
          <w:rFonts w:hint="eastAsia" w:ascii="宋体"/>
          <w:sz w:val="24"/>
          <w:highlight w:val="none"/>
          <w:lang w:eastAsia="zh-CN"/>
        </w:rPr>
        <w:t>申请</w:t>
      </w:r>
      <w:r>
        <w:rPr>
          <w:rFonts w:hint="eastAsia" w:ascii="宋体"/>
          <w:sz w:val="24"/>
          <w:highlight w:val="none"/>
        </w:rPr>
        <w:t>文件应包括下列部分：</w:t>
      </w:r>
    </w:p>
    <w:p>
      <w:pPr>
        <w:spacing w:line="400" w:lineRule="exact"/>
        <w:ind w:firstLine="472" w:firstLineChars="196"/>
        <w:rPr>
          <w:rFonts w:hint="eastAsia" w:ascii="宋体"/>
          <w:sz w:val="24"/>
          <w:highlight w:val="none"/>
        </w:rPr>
      </w:pPr>
      <w:r>
        <w:rPr>
          <w:rFonts w:hint="eastAsia"/>
          <w:b/>
          <w:sz w:val="24"/>
          <w:highlight w:val="none"/>
        </w:rPr>
        <w:t>12.1 报价部分。</w:t>
      </w:r>
      <w:r>
        <w:rPr>
          <w:rFonts w:hint="eastAsia" w:ascii="宋体"/>
          <w:bCs/>
          <w:sz w:val="24"/>
          <w:highlight w:val="none"/>
        </w:rPr>
        <w:t>供应商</w:t>
      </w:r>
      <w:r>
        <w:rPr>
          <w:rFonts w:hint="eastAsia" w:ascii="宋体"/>
          <w:sz w:val="24"/>
          <w:highlight w:val="none"/>
        </w:rPr>
        <w:t>按照比选文件要求填写的“开标一览表”及“报价明细表”。 本次比选报价要求：</w:t>
      </w:r>
    </w:p>
    <w:p>
      <w:pPr>
        <w:spacing w:line="400" w:lineRule="exact"/>
        <w:ind w:firstLine="480" w:firstLineChars="200"/>
        <w:rPr>
          <w:rFonts w:hint="eastAsia" w:ascii="宋体"/>
          <w:sz w:val="24"/>
          <w:highlight w:val="none"/>
        </w:rPr>
      </w:pPr>
      <w:r>
        <w:rPr>
          <w:rFonts w:hint="eastAsia" w:ascii="宋体"/>
          <w:sz w:val="24"/>
          <w:highlight w:val="none"/>
        </w:rPr>
        <w:t>（1）供应商的报价是供应商响应比选项目要求的全部工作内容的价格体现，包括供应商完成本项目所需的一切费用</w:t>
      </w:r>
      <w:r>
        <w:rPr>
          <w:rFonts w:hint="eastAsia"/>
          <w:sz w:val="24"/>
          <w:highlight w:val="none"/>
        </w:rPr>
        <w:t>（实质性要求）</w:t>
      </w:r>
      <w:r>
        <w:rPr>
          <w:rFonts w:hint="eastAsia" w:ascii="宋体"/>
          <w:sz w:val="24"/>
          <w:highlight w:val="none"/>
        </w:rPr>
        <w:t>。</w:t>
      </w:r>
    </w:p>
    <w:p>
      <w:pPr>
        <w:spacing w:line="400" w:lineRule="exact"/>
        <w:ind w:left="2" w:firstLine="352" w:firstLineChars="147"/>
        <w:rPr>
          <w:rFonts w:hint="eastAsia" w:ascii="宋体"/>
          <w:sz w:val="24"/>
          <w:highlight w:val="none"/>
        </w:rPr>
      </w:pPr>
      <w:r>
        <w:rPr>
          <w:rFonts w:hint="eastAsia" w:ascii="宋体"/>
          <w:sz w:val="24"/>
          <w:highlight w:val="none"/>
        </w:rPr>
        <w:t xml:space="preserve"> （2）供应商每种货物只允许有一个报价，并且在合同履行过程中是固定不变的，任何有选择或可调整的报价将不予接受，并按无效比选处理</w:t>
      </w:r>
      <w:r>
        <w:rPr>
          <w:rFonts w:hint="eastAsia"/>
          <w:sz w:val="24"/>
          <w:highlight w:val="none"/>
        </w:rPr>
        <w:t>（实质性要求）</w:t>
      </w:r>
      <w:r>
        <w:rPr>
          <w:rFonts w:hint="eastAsia" w:ascii="宋体"/>
          <w:sz w:val="24"/>
          <w:highlight w:val="none"/>
        </w:rPr>
        <w:t>。</w:t>
      </w:r>
    </w:p>
    <w:p>
      <w:pPr>
        <w:spacing w:line="400" w:lineRule="exact"/>
        <w:ind w:firstLine="480" w:firstLineChars="200"/>
        <w:rPr>
          <w:rFonts w:hint="eastAsia" w:ascii="宋体"/>
          <w:sz w:val="24"/>
          <w:highlight w:val="none"/>
        </w:rPr>
      </w:pPr>
      <w:r>
        <w:rPr>
          <w:rFonts w:hint="eastAsia" w:ascii="宋体"/>
          <w:sz w:val="24"/>
          <w:highlight w:val="none"/>
        </w:rPr>
        <w:t>（3）在本次比选之前一周年内，供应商本次比选中对同一品牌同一型号相同配置的产品报价与其在中国境内其他地方的最低报价比例不得高于20%。</w:t>
      </w:r>
      <w:r>
        <w:rPr>
          <w:rFonts w:hint="eastAsia"/>
          <w:sz w:val="24"/>
          <w:highlight w:val="none"/>
        </w:rPr>
        <w:t>（实质性要求）</w:t>
      </w:r>
      <w:r>
        <w:rPr>
          <w:rFonts w:hint="eastAsia" w:ascii="宋体"/>
          <w:sz w:val="24"/>
          <w:highlight w:val="none"/>
        </w:rPr>
        <w:t>。</w:t>
      </w:r>
    </w:p>
    <w:p>
      <w:pPr>
        <w:pStyle w:val="6"/>
        <w:spacing w:line="400" w:lineRule="exact"/>
        <w:ind w:firstLine="481" w:firstLineChars="200"/>
        <w:rPr>
          <w:rFonts w:hint="eastAsia" w:ascii="宋体"/>
          <w:b w:val="0"/>
          <w:bCs w:val="0"/>
          <w:sz w:val="24"/>
          <w:highlight w:val="none"/>
        </w:rPr>
      </w:pPr>
      <w:r>
        <w:rPr>
          <w:rFonts w:hint="eastAsia" w:ascii="宋体"/>
          <w:sz w:val="24"/>
          <w:highlight w:val="none"/>
        </w:rPr>
        <w:t>12.2 服务部分。</w:t>
      </w:r>
      <w:r>
        <w:rPr>
          <w:rFonts w:hint="eastAsia" w:ascii="宋体"/>
          <w:b w:val="0"/>
          <w:bCs w:val="0"/>
          <w:sz w:val="24"/>
          <w:highlight w:val="none"/>
        </w:rPr>
        <w:t>供应商按照比选文件要求做出的服务应答，主要是针对比选项目的服务要求做出的实质性响应和满足。供应商的服务应答包括下列内容：</w:t>
      </w:r>
    </w:p>
    <w:p>
      <w:pPr>
        <w:spacing w:line="400" w:lineRule="exact"/>
        <w:ind w:left="508" w:leftChars="169" w:hanging="153" w:hangingChars="64"/>
        <w:rPr>
          <w:rFonts w:hint="eastAsia" w:ascii="宋体"/>
          <w:sz w:val="24"/>
          <w:highlight w:val="none"/>
        </w:rPr>
      </w:pPr>
      <w:r>
        <w:rPr>
          <w:rFonts w:hint="eastAsia" w:ascii="宋体"/>
          <w:sz w:val="24"/>
          <w:highlight w:val="none"/>
        </w:rPr>
        <w:t xml:space="preserve"> （1）服务方案、项目实施方案；</w:t>
      </w:r>
    </w:p>
    <w:p>
      <w:pPr>
        <w:spacing w:line="400" w:lineRule="exact"/>
        <w:ind w:left="508" w:leftChars="169" w:hanging="153" w:hangingChars="64"/>
        <w:rPr>
          <w:rFonts w:hint="eastAsia" w:ascii="宋体"/>
          <w:sz w:val="24"/>
          <w:highlight w:val="none"/>
        </w:rPr>
      </w:pPr>
      <w:r>
        <w:rPr>
          <w:rFonts w:hint="eastAsia" w:ascii="宋体"/>
          <w:sz w:val="24"/>
          <w:highlight w:val="none"/>
        </w:rPr>
        <w:t xml:space="preserve"> （2）验收标准和验收方法；</w:t>
      </w:r>
    </w:p>
    <w:p>
      <w:pPr>
        <w:spacing w:line="400" w:lineRule="exact"/>
        <w:ind w:left="105" w:leftChars="50" w:firstLine="360" w:firstLineChars="150"/>
        <w:rPr>
          <w:rFonts w:hint="eastAsia" w:ascii="宋体"/>
          <w:sz w:val="24"/>
          <w:highlight w:val="none"/>
        </w:rPr>
      </w:pPr>
      <w:r>
        <w:rPr>
          <w:rFonts w:hint="eastAsia" w:ascii="宋体"/>
          <w:sz w:val="24"/>
          <w:highlight w:val="none"/>
        </w:rPr>
        <w:t>（3）服务应答表；</w:t>
      </w:r>
    </w:p>
    <w:p>
      <w:pPr>
        <w:spacing w:line="400" w:lineRule="exact"/>
        <w:ind w:left="1" w:firstLine="352" w:firstLineChars="147"/>
        <w:rPr>
          <w:rFonts w:hint="eastAsia" w:ascii="宋体"/>
          <w:sz w:val="24"/>
          <w:highlight w:val="none"/>
        </w:rPr>
      </w:pPr>
      <w:r>
        <w:rPr>
          <w:rFonts w:hint="eastAsia" w:ascii="宋体"/>
          <w:sz w:val="24"/>
          <w:highlight w:val="none"/>
        </w:rPr>
        <w:t xml:space="preserve"> （4）供应商认为需要提供的文件和资料。</w:t>
      </w:r>
    </w:p>
    <w:p>
      <w:pPr>
        <w:pStyle w:val="6"/>
        <w:spacing w:line="400" w:lineRule="exact"/>
        <w:ind w:firstLine="481" w:firstLineChars="200"/>
        <w:rPr>
          <w:rFonts w:hint="eastAsia" w:ascii="宋体"/>
          <w:b w:val="0"/>
          <w:bCs w:val="0"/>
          <w:sz w:val="24"/>
          <w:highlight w:val="none"/>
        </w:rPr>
      </w:pPr>
      <w:r>
        <w:rPr>
          <w:rFonts w:hint="eastAsia" w:ascii="宋体"/>
          <w:sz w:val="24"/>
          <w:highlight w:val="none"/>
        </w:rPr>
        <w:t>12.3 商务部分。</w:t>
      </w:r>
      <w:r>
        <w:rPr>
          <w:rFonts w:hint="eastAsia" w:ascii="宋体"/>
          <w:b w:val="0"/>
          <w:bCs w:val="0"/>
          <w:sz w:val="24"/>
          <w:highlight w:val="none"/>
        </w:rPr>
        <w:t>供应商按照比选文件要求提供的有关文件及优惠承诺。包括以下内容：</w:t>
      </w:r>
    </w:p>
    <w:p>
      <w:pPr>
        <w:spacing w:line="400" w:lineRule="exact"/>
        <w:ind w:left="508" w:leftChars="169" w:hanging="153" w:hangingChars="64"/>
        <w:rPr>
          <w:rFonts w:hint="eastAsia" w:ascii="宋体"/>
          <w:sz w:val="24"/>
          <w:highlight w:val="none"/>
        </w:rPr>
      </w:pPr>
      <w:r>
        <w:rPr>
          <w:rFonts w:hint="eastAsia" w:ascii="宋体"/>
          <w:sz w:val="24"/>
          <w:highlight w:val="none"/>
        </w:rPr>
        <w:t xml:space="preserve"> （1）比选函；</w:t>
      </w:r>
    </w:p>
    <w:p>
      <w:pPr>
        <w:spacing w:line="400" w:lineRule="exact"/>
        <w:ind w:left="508" w:leftChars="169" w:hanging="153" w:hangingChars="64"/>
        <w:rPr>
          <w:rFonts w:hint="eastAsia" w:ascii="宋体"/>
          <w:sz w:val="24"/>
          <w:highlight w:val="none"/>
        </w:rPr>
      </w:pPr>
      <w:r>
        <w:rPr>
          <w:rFonts w:hint="eastAsia" w:ascii="宋体"/>
          <w:sz w:val="24"/>
          <w:highlight w:val="none"/>
        </w:rPr>
        <w:t xml:space="preserve"> （2）供应商营业执照复印件；</w:t>
      </w:r>
    </w:p>
    <w:p>
      <w:pPr>
        <w:spacing w:line="400" w:lineRule="exact"/>
        <w:ind w:firstLine="480" w:firstLineChars="200"/>
        <w:rPr>
          <w:rFonts w:hint="eastAsia" w:ascii="宋体"/>
          <w:sz w:val="24"/>
          <w:highlight w:val="none"/>
        </w:rPr>
      </w:pPr>
      <w:r>
        <w:rPr>
          <w:rFonts w:hint="eastAsia" w:ascii="宋体"/>
          <w:sz w:val="24"/>
          <w:highlight w:val="none"/>
        </w:rPr>
        <w:t>（3）税务登记证复印件；</w:t>
      </w:r>
    </w:p>
    <w:p>
      <w:pPr>
        <w:spacing w:line="400" w:lineRule="exact"/>
        <w:ind w:left="508" w:leftChars="169" w:hanging="153" w:hangingChars="64"/>
        <w:rPr>
          <w:rFonts w:hint="eastAsia" w:ascii="宋体"/>
          <w:sz w:val="24"/>
          <w:highlight w:val="none"/>
        </w:rPr>
      </w:pPr>
      <w:r>
        <w:rPr>
          <w:rFonts w:hint="eastAsia" w:ascii="宋体"/>
          <w:sz w:val="24"/>
          <w:highlight w:val="none"/>
        </w:rPr>
        <w:t xml:space="preserve"> （4）法定代表人/单位负责人授权书原件；</w:t>
      </w:r>
    </w:p>
    <w:p>
      <w:pPr>
        <w:spacing w:line="400" w:lineRule="exact"/>
        <w:ind w:left="508" w:leftChars="169" w:hanging="153" w:hangingChars="64"/>
        <w:rPr>
          <w:rFonts w:hint="eastAsia" w:ascii="宋体"/>
          <w:sz w:val="24"/>
          <w:highlight w:val="none"/>
        </w:rPr>
      </w:pPr>
      <w:r>
        <w:rPr>
          <w:rFonts w:hint="eastAsia" w:ascii="宋体"/>
          <w:sz w:val="24"/>
          <w:highlight w:val="none"/>
        </w:rPr>
        <w:t xml:space="preserve"> （5）授权代表身份证明复印件；</w:t>
      </w:r>
    </w:p>
    <w:p>
      <w:pPr>
        <w:spacing w:line="400" w:lineRule="exact"/>
        <w:ind w:firstLine="480" w:firstLineChars="200"/>
        <w:rPr>
          <w:rFonts w:hint="eastAsia" w:ascii="宋体"/>
          <w:sz w:val="24"/>
          <w:highlight w:val="none"/>
        </w:rPr>
      </w:pPr>
      <w:r>
        <w:rPr>
          <w:rFonts w:hint="eastAsia" w:ascii="宋体"/>
          <w:sz w:val="24"/>
          <w:highlight w:val="none"/>
        </w:rPr>
        <w:t>（6）供应商和比选产品符合</w:t>
      </w:r>
      <w:r>
        <w:rPr>
          <w:rFonts w:hint="eastAsia" w:ascii="宋体" w:hAnsi="宋体"/>
          <w:sz w:val="24"/>
          <w:highlight w:val="none"/>
        </w:rPr>
        <w:t>比选文件第四章</w:t>
      </w:r>
      <w:r>
        <w:rPr>
          <w:rFonts w:hint="eastAsia" w:ascii="宋体"/>
          <w:sz w:val="24"/>
          <w:highlight w:val="none"/>
        </w:rPr>
        <w:t>规定的资格、资质性及其他具有类似效力要求的相关证明材料；</w:t>
      </w:r>
    </w:p>
    <w:p>
      <w:pPr>
        <w:spacing w:line="400" w:lineRule="exact"/>
        <w:ind w:firstLine="480" w:firstLineChars="200"/>
        <w:rPr>
          <w:rFonts w:hint="eastAsia" w:ascii="宋体"/>
          <w:sz w:val="24"/>
          <w:highlight w:val="none"/>
        </w:rPr>
      </w:pPr>
      <w:r>
        <w:rPr>
          <w:rFonts w:hint="eastAsia" w:ascii="宋体"/>
          <w:sz w:val="24"/>
          <w:highlight w:val="none"/>
        </w:rPr>
        <w:t>（7）供应商承诺给予比选采购单位的各种优惠条件（优惠条件事项不能包括采购项目本身所包括涉及的采购事项。供应商不能以“赠送、赠予”等任何名义提供货物和服务以规避比选文件的约束。否则，供应商提供的比选</w:t>
      </w:r>
      <w:r>
        <w:rPr>
          <w:rFonts w:hint="eastAsia" w:ascii="宋体"/>
          <w:sz w:val="24"/>
          <w:highlight w:val="none"/>
          <w:lang w:eastAsia="zh-CN"/>
        </w:rPr>
        <w:t>申请</w:t>
      </w:r>
      <w:r>
        <w:rPr>
          <w:rFonts w:hint="eastAsia" w:ascii="宋体"/>
          <w:sz w:val="24"/>
          <w:highlight w:val="none"/>
        </w:rPr>
        <w:t>文件将作为无效比选处理，即使中标也将取消中标资格）</w:t>
      </w:r>
      <w:r>
        <w:rPr>
          <w:rFonts w:hint="eastAsia"/>
          <w:sz w:val="24"/>
          <w:highlight w:val="none"/>
        </w:rPr>
        <w:t>（实质性要求）</w:t>
      </w:r>
      <w:r>
        <w:rPr>
          <w:rFonts w:hint="eastAsia" w:ascii="宋体"/>
          <w:sz w:val="24"/>
          <w:highlight w:val="none"/>
        </w:rPr>
        <w:t>；</w:t>
      </w:r>
    </w:p>
    <w:p>
      <w:pPr>
        <w:spacing w:line="400" w:lineRule="exact"/>
        <w:ind w:firstLine="480" w:firstLineChars="200"/>
        <w:rPr>
          <w:rFonts w:hint="eastAsia" w:ascii="宋体"/>
          <w:sz w:val="24"/>
          <w:highlight w:val="none"/>
        </w:rPr>
      </w:pPr>
      <w:r>
        <w:rPr>
          <w:rFonts w:hint="eastAsia" w:ascii="宋体"/>
          <w:sz w:val="24"/>
          <w:highlight w:val="none"/>
        </w:rPr>
        <w:t>（8）证明供应商业绩和荣誉的有关材料复印件；</w:t>
      </w:r>
    </w:p>
    <w:p>
      <w:pPr>
        <w:spacing w:line="400" w:lineRule="exact"/>
        <w:ind w:firstLine="480" w:firstLineChars="200"/>
        <w:rPr>
          <w:rFonts w:hint="eastAsia" w:ascii="宋体"/>
          <w:sz w:val="24"/>
          <w:highlight w:val="none"/>
        </w:rPr>
      </w:pPr>
      <w:r>
        <w:rPr>
          <w:rFonts w:hint="eastAsia" w:ascii="宋体"/>
          <w:sz w:val="24"/>
          <w:highlight w:val="none"/>
        </w:rPr>
        <w:t>（9）商务应答表；</w:t>
      </w:r>
    </w:p>
    <w:p>
      <w:pPr>
        <w:spacing w:line="400" w:lineRule="exact"/>
        <w:ind w:firstLine="480" w:firstLineChars="200"/>
        <w:rPr>
          <w:rFonts w:hint="eastAsia" w:ascii="宋体"/>
          <w:sz w:val="24"/>
          <w:highlight w:val="none"/>
        </w:rPr>
      </w:pPr>
      <w:r>
        <w:rPr>
          <w:rFonts w:hint="eastAsia" w:ascii="宋体"/>
          <w:sz w:val="24"/>
          <w:highlight w:val="none"/>
        </w:rPr>
        <w:t>（10）其他供应商认为需要提供的文件和资料。</w:t>
      </w:r>
    </w:p>
    <w:p>
      <w:pPr>
        <w:adjustRightInd w:val="0"/>
        <w:snapToGrid w:val="0"/>
        <w:spacing w:line="400" w:lineRule="exact"/>
        <w:ind w:firstLine="481" w:firstLineChars="200"/>
        <w:rPr>
          <w:rFonts w:hint="eastAsia" w:ascii="宋体"/>
          <w:sz w:val="24"/>
          <w:highlight w:val="none"/>
        </w:rPr>
      </w:pPr>
      <w:r>
        <w:rPr>
          <w:rFonts w:hint="eastAsia" w:ascii="宋体"/>
          <w:b/>
          <w:bCs/>
          <w:sz w:val="24"/>
          <w:highlight w:val="none"/>
        </w:rPr>
        <w:t>12.5其他部分。</w:t>
      </w:r>
      <w:r>
        <w:rPr>
          <w:rFonts w:hint="eastAsia" w:ascii="宋体"/>
          <w:bCs/>
          <w:sz w:val="24"/>
          <w:highlight w:val="none"/>
        </w:rPr>
        <w:t>供应商按照比选文件要求作出的其他应答和承诺。</w:t>
      </w:r>
    </w:p>
    <w:p>
      <w:pPr>
        <w:pStyle w:val="6"/>
        <w:tabs>
          <w:tab w:val="left" w:pos="3480"/>
        </w:tabs>
        <w:spacing w:line="400" w:lineRule="exact"/>
        <w:ind w:firstLine="481" w:firstLineChars="200"/>
        <w:rPr>
          <w:rFonts w:hint="eastAsia" w:ascii="宋体"/>
          <w:sz w:val="24"/>
          <w:highlight w:val="none"/>
        </w:rPr>
      </w:pPr>
      <w:bookmarkStart w:id="51" w:name="_Toc183682355"/>
      <w:bookmarkStart w:id="52" w:name="_Toc217446049"/>
      <w:bookmarkStart w:id="53" w:name="_Toc183582218"/>
      <w:bookmarkStart w:id="54" w:name="_Toc308164799"/>
      <w:r>
        <w:rPr>
          <w:rFonts w:hint="eastAsia" w:ascii="宋体"/>
          <w:sz w:val="24"/>
          <w:highlight w:val="none"/>
        </w:rPr>
        <w:t>13．比选</w:t>
      </w:r>
      <w:r>
        <w:rPr>
          <w:rFonts w:hint="eastAsia" w:ascii="宋体"/>
          <w:sz w:val="24"/>
          <w:highlight w:val="none"/>
          <w:lang w:eastAsia="zh-CN"/>
        </w:rPr>
        <w:t>申请</w:t>
      </w:r>
      <w:r>
        <w:rPr>
          <w:rFonts w:hint="eastAsia" w:ascii="宋体"/>
          <w:sz w:val="24"/>
          <w:highlight w:val="none"/>
        </w:rPr>
        <w:t>文件格式</w:t>
      </w:r>
      <w:bookmarkEnd w:id="51"/>
      <w:bookmarkEnd w:id="52"/>
      <w:bookmarkEnd w:id="53"/>
      <w:bookmarkEnd w:id="54"/>
    </w:p>
    <w:p>
      <w:pPr>
        <w:tabs>
          <w:tab w:val="left" w:pos="7665"/>
        </w:tabs>
        <w:spacing w:line="400" w:lineRule="exact"/>
        <w:ind w:left="12" w:leftChars="6" w:firstLine="480" w:firstLineChars="200"/>
        <w:rPr>
          <w:rFonts w:hint="eastAsia" w:ascii="宋体"/>
          <w:sz w:val="24"/>
          <w:highlight w:val="none"/>
        </w:rPr>
      </w:pPr>
      <w:r>
        <w:rPr>
          <w:rFonts w:hint="eastAsia" w:ascii="宋体"/>
          <w:sz w:val="24"/>
          <w:highlight w:val="none"/>
        </w:rPr>
        <w:t>13.1 供应商应执行比选文件第二章的规定要求。第二章格式中“注”的内容，供应商可自行决定是否保留在比选</w:t>
      </w:r>
      <w:r>
        <w:rPr>
          <w:rFonts w:hint="eastAsia" w:ascii="宋体"/>
          <w:sz w:val="24"/>
          <w:highlight w:val="none"/>
          <w:lang w:eastAsia="zh-CN"/>
        </w:rPr>
        <w:t>申请</w:t>
      </w:r>
      <w:r>
        <w:rPr>
          <w:rFonts w:hint="eastAsia" w:ascii="宋体"/>
          <w:sz w:val="24"/>
          <w:highlight w:val="none"/>
        </w:rPr>
        <w:t>文件中，未保留的视为供应商默认接受“注”的内容。</w:t>
      </w:r>
    </w:p>
    <w:p>
      <w:pPr>
        <w:tabs>
          <w:tab w:val="left" w:pos="7665"/>
        </w:tabs>
        <w:spacing w:line="400" w:lineRule="exact"/>
        <w:ind w:left="12" w:leftChars="6" w:firstLine="480" w:firstLineChars="200"/>
        <w:rPr>
          <w:rFonts w:hint="eastAsia" w:ascii="宋体"/>
          <w:sz w:val="24"/>
          <w:highlight w:val="none"/>
        </w:rPr>
      </w:pPr>
      <w:r>
        <w:rPr>
          <w:rFonts w:hint="eastAsia" w:ascii="宋体"/>
          <w:sz w:val="24"/>
          <w:highlight w:val="none"/>
        </w:rPr>
        <w:t>13.2 对于没有格式要求的比选文件由供应商自行编写。</w:t>
      </w:r>
    </w:p>
    <w:p>
      <w:pPr>
        <w:pStyle w:val="6"/>
        <w:spacing w:line="400" w:lineRule="exact"/>
        <w:ind w:firstLine="481" w:firstLineChars="200"/>
        <w:rPr>
          <w:rFonts w:hint="eastAsia" w:ascii="宋体"/>
          <w:bCs w:val="0"/>
          <w:sz w:val="24"/>
          <w:highlight w:val="none"/>
        </w:rPr>
      </w:pPr>
      <w:bookmarkStart w:id="55" w:name="_Toc217446051"/>
      <w:bookmarkStart w:id="56" w:name="_Toc308164801"/>
      <w:bookmarkStart w:id="57" w:name="_Toc183582224"/>
      <w:bookmarkStart w:id="58" w:name="_Toc183682361"/>
      <w:r>
        <w:rPr>
          <w:rFonts w:hint="eastAsia" w:ascii="宋体"/>
          <w:bCs w:val="0"/>
          <w:sz w:val="24"/>
          <w:highlight w:val="none"/>
        </w:rPr>
        <w:t>14．比选有效期</w:t>
      </w:r>
      <w:bookmarkEnd w:id="55"/>
      <w:bookmarkEnd w:id="56"/>
      <w:bookmarkEnd w:id="57"/>
      <w:bookmarkEnd w:id="58"/>
      <w:r>
        <w:rPr>
          <w:rFonts w:hint="eastAsia"/>
          <w:sz w:val="24"/>
          <w:szCs w:val="24"/>
          <w:highlight w:val="none"/>
        </w:rPr>
        <w:t>（实质性要求）</w:t>
      </w:r>
    </w:p>
    <w:p>
      <w:pPr>
        <w:tabs>
          <w:tab w:val="left" w:pos="7665"/>
        </w:tabs>
        <w:spacing w:line="400" w:lineRule="exact"/>
        <w:ind w:left="12" w:leftChars="6" w:firstLine="480" w:firstLineChars="200"/>
        <w:rPr>
          <w:rFonts w:hint="eastAsia" w:ascii="宋体"/>
          <w:sz w:val="24"/>
          <w:highlight w:val="none"/>
        </w:rPr>
      </w:pPr>
      <w:r>
        <w:rPr>
          <w:rFonts w:hint="eastAsia" w:ascii="宋体"/>
          <w:sz w:val="24"/>
          <w:highlight w:val="none"/>
        </w:rPr>
        <w:t>14.1 本项目比选有效期为比选截止时间届满后</w:t>
      </w:r>
      <w:r>
        <w:rPr>
          <w:rFonts w:hint="eastAsia" w:ascii="宋体"/>
          <w:b/>
          <w:bCs/>
          <w:sz w:val="24"/>
          <w:highlight w:val="none"/>
        </w:rPr>
        <w:t>90</w:t>
      </w:r>
      <w:r>
        <w:rPr>
          <w:rFonts w:hint="eastAsia" w:ascii="宋体"/>
          <w:sz w:val="24"/>
          <w:highlight w:val="none"/>
        </w:rPr>
        <w:t>天。供应商比选</w:t>
      </w:r>
      <w:r>
        <w:rPr>
          <w:rFonts w:hint="eastAsia" w:ascii="宋体"/>
          <w:sz w:val="24"/>
          <w:highlight w:val="none"/>
          <w:lang w:eastAsia="zh-CN"/>
        </w:rPr>
        <w:t>申请</w:t>
      </w:r>
      <w:r>
        <w:rPr>
          <w:rFonts w:hint="eastAsia" w:ascii="宋体"/>
          <w:sz w:val="24"/>
          <w:highlight w:val="none"/>
        </w:rPr>
        <w:t>文件中必须载明比选有效期，比选</w:t>
      </w:r>
      <w:r>
        <w:rPr>
          <w:rFonts w:hint="eastAsia" w:ascii="宋体"/>
          <w:sz w:val="24"/>
          <w:highlight w:val="none"/>
          <w:lang w:eastAsia="zh-CN"/>
        </w:rPr>
        <w:t>申请</w:t>
      </w:r>
      <w:r>
        <w:rPr>
          <w:rFonts w:hint="eastAsia" w:ascii="宋体"/>
          <w:sz w:val="24"/>
          <w:highlight w:val="none"/>
        </w:rPr>
        <w:t>文件中载明的比选有效期可以长于比选文件规定的期限，但不得短于比选文件规定的期限。否则，其比选</w:t>
      </w:r>
      <w:r>
        <w:rPr>
          <w:rFonts w:hint="eastAsia" w:ascii="宋体"/>
          <w:sz w:val="24"/>
          <w:highlight w:val="none"/>
          <w:lang w:eastAsia="zh-CN"/>
        </w:rPr>
        <w:t>申请</w:t>
      </w:r>
      <w:r>
        <w:rPr>
          <w:rFonts w:hint="eastAsia" w:ascii="宋体"/>
          <w:sz w:val="24"/>
          <w:highlight w:val="none"/>
        </w:rPr>
        <w:t>文件将作为无效比选处理。</w:t>
      </w:r>
    </w:p>
    <w:p>
      <w:pPr>
        <w:tabs>
          <w:tab w:val="left" w:pos="7665"/>
        </w:tabs>
        <w:spacing w:line="400" w:lineRule="exact"/>
        <w:ind w:left="12" w:leftChars="6" w:firstLine="360" w:firstLineChars="150"/>
        <w:rPr>
          <w:rFonts w:hint="eastAsia" w:ascii="宋体"/>
          <w:sz w:val="24"/>
          <w:highlight w:val="none"/>
        </w:rPr>
      </w:pPr>
      <w:r>
        <w:rPr>
          <w:rFonts w:hint="eastAsia" w:ascii="宋体"/>
          <w:sz w:val="24"/>
          <w:highlight w:val="none"/>
        </w:rPr>
        <w:t xml:space="preserve"> 14.2 因不可抗力事件，比选人可于比选有效期届满之前与供应商协商延长比选有效期。供应商拒绝延长比选有效期的，不得再参与该项目后续采购活动，但由此给供应商造成的损失，比选人可以自主决定是否可以给予适当补偿。供应商同意延长比选有效期的，不能修改比选</w:t>
      </w:r>
      <w:r>
        <w:rPr>
          <w:rFonts w:hint="eastAsia" w:ascii="宋体"/>
          <w:sz w:val="24"/>
          <w:highlight w:val="none"/>
          <w:lang w:eastAsia="zh-CN"/>
        </w:rPr>
        <w:t>申请</w:t>
      </w:r>
      <w:r>
        <w:rPr>
          <w:rFonts w:hint="eastAsia" w:ascii="宋体"/>
          <w:sz w:val="24"/>
          <w:highlight w:val="none"/>
        </w:rPr>
        <w:t xml:space="preserve">文件。 </w:t>
      </w:r>
    </w:p>
    <w:p>
      <w:pPr>
        <w:tabs>
          <w:tab w:val="left" w:pos="7665"/>
        </w:tabs>
        <w:spacing w:line="400" w:lineRule="exact"/>
        <w:ind w:left="12" w:leftChars="6" w:firstLine="360" w:firstLineChars="150"/>
        <w:rPr>
          <w:rFonts w:hint="eastAsia" w:ascii="宋体"/>
          <w:sz w:val="24"/>
          <w:highlight w:val="none"/>
        </w:rPr>
      </w:pPr>
      <w:r>
        <w:rPr>
          <w:rFonts w:hint="eastAsia" w:ascii="宋体"/>
          <w:sz w:val="24"/>
          <w:highlight w:val="none"/>
        </w:rPr>
        <w:t>14.3 因比选人比选需求作出必要调整，比选人可于比选有效期届满之前与供应商协商延长比选有效期。供应商拒绝延长比选有效期的，不得再参与该项目后续采购活动，但由此给供应商造成的损失，比选人应当予以赔偿或者合理补偿。供应商同意延长比选有效期的，不能修改比选</w:t>
      </w:r>
      <w:r>
        <w:rPr>
          <w:rFonts w:hint="eastAsia" w:ascii="宋体"/>
          <w:sz w:val="24"/>
          <w:highlight w:val="none"/>
          <w:lang w:eastAsia="zh-CN"/>
        </w:rPr>
        <w:t>申请</w:t>
      </w:r>
      <w:r>
        <w:rPr>
          <w:rFonts w:hint="eastAsia" w:ascii="宋体"/>
          <w:sz w:val="24"/>
          <w:highlight w:val="none"/>
        </w:rPr>
        <w:t>文件。</w:t>
      </w:r>
    </w:p>
    <w:p>
      <w:pPr>
        <w:pStyle w:val="6"/>
        <w:spacing w:line="400" w:lineRule="exact"/>
        <w:ind w:firstLine="481" w:firstLineChars="200"/>
        <w:rPr>
          <w:rFonts w:hint="eastAsia" w:ascii="宋体"/>
          <w:bCs w:val="0"/>
          <w:sz w:val="24"/>
          <w:highlight w:val="none"/>
        </w:rPr>
      </w:pPr>
      <w:bookmarkStart w:id="59" w:name="_Toc308164802"/>
      <w:bookmarkStart w:id="60" w:name="_Toc183682362"/>
      <w:bookmarkStart w:id="61" w:name="_Toc183582225"/>
      <w:bookmarkStart w:id="62" w:name="_Toc217446052"/>
      <w:r>
        <w:rPr>
          <w:rFonts w:hint="eastAsia" w:ascii="宋体"/>
          <w:bCs w:val="0"/>
          <w:sz w:val="24"/>
          <w:highlight w:val="none"/>
        </w:rPr>
        <w:t>15．比选</w:t>
      </w:r>
      <w:r>
        <w:rPr>
          <w:rFonts w:hint="eastAsia" w:ascii="宋体"/>
          <w:bCs w:val="0"/>
          <w:sz w:val="24"/>
          <w:highlight w:val="none"/>
          <w:lang w:eastAsia="zh-CN"/>
        </w:rPr>
        <w:t>申请</w:t>
      </w:r>
      <w:r>
        <w:rPr>
          <w:rFonts w:hint="eastAsia" w:ascii="宋体"/>
          <w:bCs w:val="0"/>
          <w:sz w:val="24"/>
          <w:highlight w:val="none"/>
        </w:rPr>
        <w:t>文件的印制和签署</w:t>
      </w:r>
      <w:bookmarkEnd w:id="59"/>
      <w:bookmarkEnd w:id="60"/>
      <w:bookmarkEnd w:id="61"/>
      <w:bookmarkEnd w:id="62"/>
    </w:p>
    <w:p>
      <w:pPr>
        <w:tabs>
          <w:tab w:val="left" w:pos="1080"/>
        </w:tabs>
        <w:spacing w:line="400" w:lineRule="exact"/>
        <w:ind w:firstLine="460" w:firstLineChars="192"/>
        <w:rPr>
          <w:rFonts w:hint="eastAsia" w:ascii="宋体"/>
          <w:sz w:val="24"/>
          <w:highlight w:val="none"/>
        </w:rPr>
      </w:pPr>
      <w:r>
        <w:rPr>
          <w:rFonts w:hint="eastAsia" w:ascii="宋体"/>
          <w:sz w:val="24"/>
          <w:highlight w:val="none"/>
        </w:rPr>
        <w:t>15.1 供应商应按比选文件</w:t>
      </w:r>
      <w:r>
        <w:rPr>
          <w:rFonts w:hint="eastAsia" w:ascii="宋体"/>
          <w:sz w:val="24"/>
          <w:highlight w:val="none"/>
          <w:lang w:eastAsia="zh-CN"/>
        </w:rPr>
        <w:t>要求准备比选申请文件</w:t>
      </w:r>
      <w:r>
        <w:rPr>
          <w:rFonts w:hint="eastAsia" w:ascii="宋体"/>
          <w:sz w:val="24"/>
          <w:highlight w:val="none"/>
        </w:rPr>
        <w:t>正本壹份、副本</w:t>
      </w:r>
      <w:r>
        <w:rPr>
          <w:rFonts w:hint="eastAsia" w:ascii="宋体"/>
          <w:sz w:val="24"/>
          <w:highlight w:val="none"/>
          <w:lang w:eastAsia="zh-CN"/>
        </w:rPr>
        <w:t>贰</w:t>
      </w:r>
      <w:r>
        <w:rPr>
          <w:rFonts w:hint="eastAsia" w:ascii="宋体"/>
          <w:sz w:val="24"/>
          <w:highlight w:val="none"/>
        </w:rPr>
        <w:t>份和相应的电子文档壹份，以及用于比选单独提交的“开标一览表”。比选</w:t>
      </w:r>
      <w:r>
        <w:rPr>
          <w:rFonts w:hint="eastAsia" w:ascii="宋体"/>
          <w:sz w:val="24"/>
          <w:highlight w:val="none"/>
          <w:lang w:eastAsia="zh-CN"/>
        </w:rPr>
        <w:t>申请</w:t>
      </w:r>
      <w:r>
        <w:rPr>
          <w:rFonts w:hint="eastAsia" w:ascii="宋体"/>
          <w:sz w:val="24"/>
          <w:highlight w:val="none"/>
        </w:rPr>
        <w:t>文件的正本和副本应在其封面右上角清楚地标明“正本”或“副本”字样。若正本和副本有不一致的内容，以正本书面比选</w:t>
      </w:r>
      <w:r>
        <w:rPr>
          <w:rFonts w:hint="eastAsia" w:ascii="宋体"/>
          <w:sz w:val="24"/>
          <w:highlight w:val="none"/>
          <w:lang w:eastAsia="zh-CN"/>
        </w:rPr>
        <w:t>申请</w:t>
      </w:r>
      <w:r>
        <w:rPr>
          <w:rFonts w:hint="eastAsia" w:ascii="宋体"/>
          <w:sz w:val="24"/>
          <w:highlight w:val="none"/>
        </w:rPr>
        <w:t>文件为准。</w:t>
      </w:r>
    </w:p>
    <w:p>
      <w:pPr>
        <w:tabs>
          <w:tab w:val="left" w:pos="1080"/>
        </w:tabs>
        <w:spacing w:line="400" w:lineRule="exact"/>
        <w:ind w:firstLine="460" w:firstLineChars="192"/>
        <w:rPr>
          <w:rFonts w:hint="eastAsia" w:ascii="宋体"/>
          <w:sz w:val="24"/>
          <w:highlight w:val="none"/>
        </w:rPr>
      </w:pPr>
      <w:r>
        <w:rPr>
          <w:rFonts w:hint="eastAsia" w:ascii="宋体"/>
          <w:sz w:val="24"/>
          <w:highlight w:val="none"/>
        </w:rPr>
        <w:t>供应商编制的比选</w:t>
      </w:r>
      <w:r>
        <w:rPr>
          <w:rFonts w:hint="eastAsia" w:ascii="宋体"/>
          <w:sz w:val="24"/>
          <w:highlight w:val="none"/>
          <w:lang w:eastAsia="zh-CN"/>
        </w:rPr>
        <w:t>申请</w:t>
      </w:r>
      <w:r>
        <w:rPr>
          <w:rFonts w:hint="eastAsia" w:ascii="宋体"/>
          <w:sz w:val="24"/>
          <w:highlight w:val="none"/>
        </w:rPr>
        <w:t>文件正本中应当包含比选函、开标一览表等内容。</w:t>
      </w:r>
    </w:p>
    <w:p>
      <w:pPr>
        <w:tabs>
          <w:tab w:val="left" w:pos="1095"/>
        </w:tabs>
        <w:spacing w:line="400" w:lineRule="exact"/>
        <w:ind w:firstLine="460" w:firstLineChars="192"/>
        <w:rPr>
          <w:rFonts w:hint="eastAsia" w:ascii="宋体"/>
          <w:sz w:val="24"/>
          <w:highlight w:val="none"/>
        </w:rPr>
      </w:pPr>
      <w:r>
        <w:rPr>
          <w:rFonts w:hint="eastAsia" w:ascii="宋体"/>
          <w:sz w:val="24"/>
          <w:highlight w:val="none"/>
        </w:rPr>
        <w:t>15.2 比选</w:t>
      </w:r>
      <w:r>
        <w:rPr>
          <w:rFonts w:hint="eastAsia" w:ascii="宋体"/>
          <w:sz w:val="24"/>
          <w:highlight w:val="none"/>
          <w:lang w:eastAsia="zh-CN"/>
        </w:rPr>
        <w:t>申请</w:t>
      </w:r>
      <w:r>
        <w:rPr>
          <w:rFonts w:hint="eastAsia" w:ascii="宋体"/>
          <w:sz w:val="24"/>
          <w:highlight w:val="none"/>
        </w:rPr>
        <w:t>文件的正本和副本均需打印或用不褪色、不变质的墨水书写，并由供应商的法定代表人/单位负责人或其授权代表在规定签章处签字或盖章。比选</w:t>
      </w:r>
      <w:r>
        <w:rPr>
          <w:rFonts w:hint="eastAsia" w:ascii="宋体"/>
          <w:sz w:val="24"/>
          <w:highlight w:val="none"/>
          <w:lang w:eastAsia="zh-CN"/>
        </w:rPr>
        <w:t>申请</w:t>
      </w:r>
      <w:r>
        <w:rPr>
          <w:rFonts w:hint="eastAsia" w:ascii="宋体"/>
          <w:sz w:val="24"/>
          <w:highlight w:val="none"/>
        </w:rPr>
        <w:t>文件副本可采用正本的复印件，电子文档采用光盘或U盘制作。用于比选单独提交的“开标一览表”应为原件。</w:t>
      </w:r>
    </w:p>
    <w:p>
      <w:pPr>
        <w:tabs>
          <w:tab w:val="left" w:pos="1095"/>
        </w:tabs>
        <w:spacing w:line="400" w:lineRule="exact"/>
        <w:ind w:firstLine="460" w:firstLineChars="192"/>
        <w:rPr>
          <w:rFonts w:hint="eastAsia" w:ascii="宋体"/>
          <w:sz w:val="24"/>
          <w:highlight w:val="none"/>
        </w:rPr>
      </w:pPr>
      <w:r>
        <w:rPr>
          <w:rFonts w:hint="eastAsia" w:ascii="宋体"/>
          <w:sz w:val="24"/>
          <w:highlight w:val="none"/>
        </w:rPr>
        <w:t>15.3 比选</w:t>
      </w:r>
      <w:r>
        <w:rPr>
          <w:rFonts w:hint="eastAsia" w:ascii="宋体"/>
          <w:sz w:val="24"/>
          <w:highlight w:val="none"/>
          <w:lang w:eastAsia="zh-CN"/>
        </w:rPr>
        <w:t>申请</w:t>
      </w:r>
      <w:r>
        <w:rPr>
          <w:rFonts w:hint="eastAsia" w:ascii="宋体"/>
          <w:sz w:val="24"/>
          <w:highlight w:val="none"/>
        </w:rPr>
        <w:t>文件的打印和书写应清楚工整，任何行间插字、涂改或增删，必须由供应商的法定代表人/单位负责人或其授权代表签字或盖个人印鉴。</w:t>
      </w:r>
    </w:p>
    <w:p>
      <w:pPr>
        <w:tabs>
          <w:tab w:val="left" w:pos="1080"/>
        </w:tabs>
        <w:spacing w:line="400" w:lineRule="exact"/>
        <w:ind w:firstLine="460" w:firstLineChars="192"/>
        <w:rPr>
          <w:rFonts w:hint="eastAsia" w:ascii="宋体"/>
          <w:sz w:val="24"/>
          <w:highlight w:val="none"/>
        </w:rPr>
      </w:pPr>
      <w:r>
        <w:rPr>
          <w:rFonts w:hint="eastAsia" w:ascii="宋体"/>
          <w:sz w:val="24"/>
          <w:highlight w:val="none"/>
        </w:rPr>
        <w:t>15.4 比选</w:t>
      </w:r>
      <w:r>
        <w:rPr>
          <w:rFonts w:hint="eastAsia" w:ascii="宋体"/>
          <w:sz w:val="24"/>
          <w:highlight w:val="none"/>
          <w:lang w:eastAsia="zh-CN"/>
        </w:rPr>
        <w:t>申请</w:t>
      </w:r>
      <w:r>
        <w:rPr>
          <w:rFonts w:hint="eastAsia" w:ascii="宋体"/>
          <w:sz w:val="24"/>
          <w:highlight w:val="none"/>
        </w:rPr>
        <w:t>文件正本和副本应当采取胶装方式装订成册，不得散装或者合页装订（实质性要求）。</w:t>
      </w:r>
    </w:p>
    <w:p>
      <w:pPr>
        <w:tabs>
          <w:tab w:val="left" w:pos="1080"/>
        </w:tabs>
        <w:spacing w:line="400" w:lineRule="exact"/>
        <w:ind w:firstLine="460" w:firstLineChars="192"/>
        <w:rPr>
          <w:rFonts w:hint="eastAsia" w:ascii="宋体"/>
          <w:sz w:val="24"/>
          <w:highlight w:val="none"/>
        </w:rPr>
      </w:pPr>
      <w:r>
        <w:rPr>
          <w:rFonts w:hint="eastAsia" w:ascii="宋体"/>
          <w:sz w:val="24"/>
          <w:highlight w:val="none"/>
        </w:rPr>
        <w:t>15.5 比选</w:t>
      </w:r>
      <w:r>
        <w:rPr>
          <w:rFonts w:hint="eastAsia" w:ascii="宋体"/>
          <w:sz w:val="24"/>
          <w:highlight w:val="none"/>
          <w:lang w:eastAsia="zh-CN"/>
        </w:rPr>
        <w:t>申请</w:t>
      </w:r>
      <w:r>
        <w:rPr>
          <w:rFonts w:hint="eastAsia" w:ascii="宋体"/>
          <w:sz w:val="24"/>
          <w:highlight w:val="none"/>
        </w:rPr>
        <w:t>文件应根据比选文件的要求制作，签署、盖章和内容应完整。</w:t>
      </w:r>
    </w:p>
    <w:p>
      <w:pPr>
        <w:tabs>
          <w:tab w:val="left" w:pos="1080"/>
        </w:tabs>
        <w:spacing w:line="400" w:lineRule="exact"/>
        <w:ind w:firstLine="460" w:firstLineChars="192"/>
        <w:rPr>
          <w:rFonts w:hint="eastAsia" w:ascii="宋体"/>
          <w:sz w:val="24"/>
          <w:highlight w:val="none"/>
        </w:rPr>
      </w:pPr>
      <w:r>
        <w:rPr>
          <w:rFonts w:hint="eastAsia" w:ascii="宋体"/>
          <w:sz w:val="24"/>
          <w:highlight w:val="none"/>
        </w:rPr>
        <w:t>15.6 比选</w:t>
      </w:r>
      <w:r>
        <w:rPr>
          <w:rFonts w:hint="eastAsia" w:ascii="宋体"/>
          <w:sz w:val="24"/>
          <w:highlight w:val="none"/>
          <w:lang w:eastAsia="zh-CN"/>
        </w:rPr>
        <w:t>申请</w:t>
      </w:r>
      <w:r>
        <w:rPr>
          <w:rFonts w:hint="eastAsia" w:ascii="宋体"/>
          <w:sz w:val="24"/>
          <w:highlight w:val="none"/>
        </w:rPr>
        <w:t>文件统一用A4幅面纸印制，逐页编码。</w:t>
      </w:r>
    </w:p>
    <w:p>
      <w:pPr>
        <w:tabs>
          <w:tab w:val="left" w:pos="1080"/>
        </w:tabs>
        <w:spacing w:line="400" w:lineRule="exact"/>
        <w:ind w:firstLine="460" w:firstLineChars="192"/>
        <w:rPr>
          <w:rFonts w:hint="eastAsia" w:ascii="宋体"/>
          <w:sz w:val="24"/>
          <w:highlight w:val="none"/>
        </w:rPr>
      </w:pPr>
      <w:r>
        <w:rPr>
          <w:rFonts w:hint="eastAsia" w:ascii="宋体"/>
          <w:sz w:val="24"/>
          <w:highlight w:val="none"/>
        </w:rPr>
        <w:t>15.7 本次比选要求的复印件是指对图文进行复制后的文件，包括扫描、复印、影印等方式复制的材料。</w:t>
      </w:r>
    </w:p>
    <w:p>
      <w:pPr>
        <w:pStyle w:val="6"/>
        <w:spacing w:line="400" w:lineRule="exact"/>
        <w:ind w:firstLine="481" w:firstLineChars="200"/>
        <w:rPr>
          <w:rFonts w:hint="eastAsia" w:ascii="宋体"/>
          <w:sz w:val="24"/>
          <w:szCs w:val="24"/>
          <w:highlight w:val="none"/>
        </w:rPr>
      </w:pPr>
      <w:bookmarkStart w:id="63" w:name="_Toc183582226"/>
      <w:bookmarkStart w:id="64" w:name="_Toc183682363"/>
      <w:bookmarkStart w:id="65" w:name="_Toc89075877"/>
      <w:bookmarkStart w:id="66" w:name="_Toc77400781"/>
      <w:bookmarkStart w:id="67" w:name="_Toc217446053"/>
      <w:bookmarkStart w:id="68" w:name="_Toc308164803"/>
      <w:r>
        <w:rPr>
          <w:rFonts w:hint="eastAsia" w:ascii="宋体"/>
          <w:bCs w:val="0"/>
          <w:sz w:val="24"/>
          <w:szCs w:val="24"/>
          <w:highlight w:val="none"/>
        </w:rPr>
        <w:t>16.</w:t>
      </w:r>
      <w:r>
        <w:rPr>
          <w:rFonts w:hint="eastAsia" w:ascii="宋体"/>
          <w:sz w:val="24"/>
          <w:szCs w:val="24"/>
          <w:highlight w:val="none"/>
        </w:rPr>
        <w:t>比选</w:t>
      </w:r>
      <w:r>
        <w:rPr>
          <w:rFonts w:hint="eastAsia" w:ascii="宋体"/>
          <w:sz w:val="24"/>
          <w:szCs w:val="24"/>
          <w:highlight w:val="none"/>
          <w:lang w:eastAsia="zh-CN"/>
        </w:rPr>
        <w:t>申请</w:t>
      </w:r>
      <w:r>
        <w:rPr>
          <w:rFonts w:hint="eastAsia" w:ascii="宋体"/>
          <w:sz w:val="24"/>
          <w:szCs w:val="24"/>
          <w:highlight w:val="none"/>
        </w:rPr>
        <w:t>文件的密封和标</w:t>
      </w:r>
      <w:bookmarkEnd w:id="63"/>
      <w:bookmarkEnd w:id="64"/>
      <w:bookmarkEnd w:id="65"/>
      <w:bookmarkEnd w:id="66"/>
      <w:r>
        <w:rPr>
          <w:rFonts w:hint="eastAsia" w:ascii="宋体"/>
          <w:sz w:val="24"/>
          <w:szCs w:val="24"/>
          <w:highlight w:val="none"/>
        </w:rPr>
        <w:t>注</w:t>
      </w:r>
      <w:bookmarkEnd w:id="67"/>
      <w:bookmarkEnd w:id="68"/>
    </w:p>
    <w:p>
      <w:pPr>
        <w:tabs>
          <w:tab w:val="left" w:pos="1080"/>
        </w:tabs>
        <w:spacing w:line="400" w:lineRule="exact"/>
        <w:rPr>
          <w:rFonts w:hint="eastAsia" w:ascii="宋体"/>
          <w:sz w:val="24"/>
          <w:highlight w:val="none"/>
        </w:rPr>
      </w:pPr>
      <w:r>
        <w:rPr>
          <w:rFonts w:hint="eastAsia" w:ascii="宋体"/>
          <w:b/>
          <w:sz w:val="28"/>
          <w:szCs w:val="28"/>
          <w:highlight w:val="none"/>
        </w:rPr>
        <w:t xml:space="preserve">   </w:t>
      </w:r>
      <w:r>
        <w:rPr>
          <w:rFonts w:hint="eastAsia" w:ascii="宋体"/>
          <w:sz w:val="24"/>
          <w:highlight w:val="none"/>
        </w:rPr>
        <w:t>16.1供应商应在比选</w:t>
      </w:r>
      <w:r>
        <w:rPr>
          <w:rFonts w:hint="eastAsia" w:ascii="宋体"/>
          <w:sz w:val="24"/>
          <w:highlight w:val="none"/>
          <w:lang w:eastAsia="zh-CN"/>
        </w:rPr>
        <w:t>申请</w:t>
      </w:r>
      <w:r>
        <w:rPr>
          <w:rFonts w:hint="eastAsia" w:ascii="宋体"/>
          <w:sz w:val="24"/>
          <w:highlight w:val="none"/>
        </w:rPr>
        <w:t>文件正本和所有副本的封面上注明供应商名称、项目名称及分包号（如有分包）。</w:t>
      </w:r>
    </w:p>
    <w:p>
      <w:pPr>
        <w:tabs>
          <w:tab w:val="left" w:pos="1080"/>
        </w:tabs>
        <w:spacing w:line="400" w:lineRule="exact"/>
        <w:ind w:firstLine="460" w:firstLineChars="192"/>
        <w:rPr>
          <w:rFonts w:hint="eastAsia" w:ascii="宋体"/>
          <w:sz w:val="24"/>
          <w:highlight w:val="none"/>
        </w:rPr>
      </w:pPr>
      <w:r>
        <w:rPr>
          <w:rFonts w:hint="eastAsia" w:ascii="宋体"/>
          <w:sz w:val="24"/>
          <w:highlight w:val="none"/>
        </w:rPr>
        <w:t>16.2 比选</w:t>
      </w:r>
      <w:r>
        <w:rPr>
          <w:rFonts w:hint="eastAsia" w:ascii="宋体"/>
          <w:sz w:val="24"/>
          <w:highlight w:val="none"/>
          <w:lang w:eastAsia="zh-CN"/>
        </w:rPr>
        <w:t>申请</w:t>
      </w:r>
      <w:r>
        <w:rPr>
          <w:rFonts w:hint="eastAsia" w:ascii="宋体"/>
          <w:sz w:val="24"/>
          <w:highlight w:val="none"/>
        </w:rPr>
        <w:t>文件包括正本、副本</w:t>
      </w:r>
      <w:r>
        <w:rPr>
          <w:rFonts w:hint="eastAsia" w:hAnsi="宋体"/>
          <w:sz w:val="24"/>
          <w:highlight w:val="none"/>
        </w:rPr>
        <w:t>、电子文档</w:t>
      </w:r>
      <w:r>
        <w:rPr>
          <w:rFonts w:hint="eastAsia" w:ascii="宋体"/>
          <w:sz w:val="24"/>
          <w:highlight w:val="none"/>
        </w:rPr>
        <w:t>和用于开标唱标单独提交的“开标一览表”。比选</w:t>
      </w:r>
      <w:r>
        <w:rPr>
          <w:rFonts w:hint="eastAsia" w:ascii="宋体"/>
          <w:sz w:val="24"/>
          <w:highlight w:val="none"/>
          <w:lang w:eastAsia="zh-CN"/>
        </w:rPr>
        <w:t>申请</w:t>
      </w:r>
      <w:r>
        <w:rPr>
          <w:rFonts w:hint="eastAsia" w:ascii="宋体"/>
          <w:sz w:val="24"/>
          <w:highlight w:val="none"/>
        </w:rPr>
        <w:t>文件应当密封，其中，“开标一览表”单独密封。比选</w:t>
      </w:r>
      <w:r>
        <w:rPr>
          <w:rFonts w:hint="eastAsia" w:ascii="宋体"/>
          <w:sz w:val="24"/>
          <w:highlight w:val="none"/>
          <w:lang w:eastAsia="zh-CN"/>
        </w:rPr>
        <w:t>申请</w:t>
      </w:r>
      <w:r>
        <w:rPr>
          <w:rFonts w:hint="eastAsia" w:ascii="宋体"/>
          <w:sz w:val="24"/>
          <w:highlight w:val="none"/>
        </w:rPr>
        <w:t>文件的密封袋上应当注明供应商名称、项目名称及分包号（如有分包）。</w:t>
      </w:r>
    </w:p>
    <w:p>
      <w:pPr>
        <w:pStyle w:val="6"/>
        <w:spacing w:line="400" w:lineRule="exact"/>
        <w:ind w:firstLine="481" w:firstLineChars="200"/>
        <w:rPr>
          <w:rFonts w:hint="eastAsia" w:ascii="宋体"/>
          <w:bCs w:val="0"/>
          <w:sz w:val="24"/>
          <w:szCs w:val="24"/>
          <w:highlight w:val="none"/>
        </w:rPr>
      </w:pPr>
      <w:bookmarkStart w:id="69" w:name="_Toc183682364"/>
      <w:bookmarkStart w:id="70" w:name="_Toc183582227"/>
      <w:bookmarkStart w:id="71" w:name="_Toc217446054"/>
      <w:bookmarkStart w:id="72" w:name="_Toc308164804"/>
      <w:r>
        <w:rPr>
          <w:rFonts w:hint="eastAsia" w:ascii="宋体"/>
          <w:bCs w:val="0"/>
          <w:sz w:val="24"/>
          <w:szCs w:val="24"/>
          <w:highlight w:val="none"/>
        </w:rPr>
        <w:t>17</w:t>
      </w:r>
      <w:r>
        <w:rPr>
          <w:rFonts w:hint="eastAsia" w:ascii="宋体"/>
          <w:bCs w:val="0"/>
          <w:sz w:val="28"/>
          <w:szCs w:val="28"/>
          <w:highlight w:val="none"/>
        </w:rPr>
        <w:t>．</w:t>
      </w:r>
      <w:r>
        <w:rPr>
          <w:rFonts w:hint="eastAsia" w:ascii="宋体"/>
          <w:bCs w:val="0"/>
          <w:sz w:val="24"/>
          <w:szCs w:val="24"/>
          <w:highlight w:val="none"/>
        </w:rPr>
        <w:t>比选</w:t>
      </w:r>
      <w:r>
        <w:rPr>
          <w:rFonts w:hint="eastAsia" w:ascii="宋体"/>
          <w:bCs w:val="0"/>
          <w:sz w:val="24"/>
          <w:szCs w:val="24"/>
          <w:highlight w:val="none"/>
          <w:lang w:eastAsia="zh-CN"/>
        </w:rPr>
        <w:t>申请</w:t>
      </w:r>
      <w:r>
        <w:rPr>
          <w:rFonts w:hint="eastAsia" w:ascii="宋体"/>
          <w:bCs w:val="0"/>
          <w:sz w:val="24"/>
          <w:szCs w:val="24"/>
          <w:highlight w:val="none"/>
        </w:rPr>
        <w:t>文件的</w:t>
      </w:r>
      <w:bookmarkEnd w:id="69"/>
      <w:bookmarkEnd w:id="70"/>
      <w:r>
        <w:rPr>
          <w:rFonts w:hint="eastAsia" w:ascii="宋体"/>
          <w:bCs w:val="0"/>
          <w:sz w:val="24"/>
          <w:szCs w:val="24"/>
          <w:highlight w:val="none"/>
        </w:rPr>
        <w:t>递交</w:t>
      </w:r>
      <w:bookmarkEnd w:id="71"/>
      <w:bookmarkEnd w:id="72"/>
    </w:p>
    <w:p>
      <w:pPr>
        <w:tabs>
          <w:tab w:val="left" w:pos="1095"/>
        </w:tabs>
        <w:spacing w:line="400" w:lineRule="exact"/>
        <w:ind w:firstLine="460" w:firstLineChars="192"/>
        <w:rPr>
          <w:rFonts w:hint="eastAsia" w:ascii="宋体"/>
          <w:sz w:val="24"/>
          <w:highlight w:val="none"/>
        </w:rPr>
      </w:pPr>
      <w:r>
        <w:rPr>
          <w:rFonts w:hint="eastAsia" w:ascii="宋体"/>
          <w:sz w:val="24"/>
          <w:highlight w:val="none"/>
        </w:rPr>
        <w:t>17.1 供应商应在比选文件规定的比选截止时间前，将比选</w:t>
      </w:r>
      <w:r>
        <w:rPr>
          <w:rFonts w:hint="eastAsia" w:ascii="宋体"/>
          <w:sz w:val="24"/>
          <w:highlight w:val="none"/>
          <w:lang w:eastAsia="zh-CN"/>
        </w:rPr>
        <w:t>申请</w:t>
      </w:r>
      <w:r>
        <w:rPr>
          <w:rFonts w:hint="eastAsia" w:ascii="宋体"/>
          <w:sz w:val="24"/>
          <w:highlight w:val="none"/>
        </w:rPr>
        <w:t>文件按比选文件的规定密封后送达开标地点。比选截止时间以后送达的比选</w:t>
      </w:r>
      <w:r>
        <w:rPr>
          <w:rFonts w:hint="eastAsia" w:ascii="宋体"/>
          <w:sz w:val="24"/>
          <w:highlight w:val="none"/>
          <w:lang w:eastAsia="zh-CN"/>
        </w:rPr>
        <w:t>申请</w:t>
      </w:r>
      <w:r>
        <w:rPr>
          <w:rFonts w:hint="eastAsia" w:ascii="宋体"/>
          <w:sz w:val="24"/>
          <w:highlight w:val="none"/>
        </w:rPr>
        <w:t>文件将不予接收，比选采购单位将告知供应商不予接收的原因。</w:t>
      </w:r>
    </w:p>
    <w:p>
      <w:pPr>
        <w:tabs>
          <w:tab w:val="left" w:pos="1095"/>
        </w:tabs>
        <w:spacing w:line="400" w:lineRule="exact"/>
        <w:ind w:firstLine="460" w:firstLineChars="192"/>
        <w:rPr>
          <w:rFonts w:hint="eastAsia" w:ascii="宋体"/>
          <w:sz w:val="24"/>
          <w:highlight w:val="none"/>
        </w:rPr>
      </w:pPr>
      <w:r>
        <w:rPr>
          <w:rFonts w:hint="eastAsia" w:ascii="宋体"/>
          <w:sz w:val="24"/>
          <w:highlight w:val="none"/>
        </w:rPr>
        <w:t>17.2递交比选</w:t>
      </w:r>
      <w:r>
        <w:rPr>
          <w:rFonts w:hint="eastAsia" w:ascii="宋体"/>
          <w:sz w:val="24"/>
          <w:highlight w:val="none"/>
          <w:lang w:eastAsia="zh-CN"/>
        </w:rPr>
        <w:t>申请</w:t>
      </w:r>
      <w:r>
        <w:rPr>
          <w:rFonts w:hint="eastAsia" w:ascii="宋体"/>
          <w:sz w:val="24"/>
          <w:highlight w:val="none"/>
        </w:rPr>
        <w:t>文件时，报名供应商名称和比选</w:t>
      </w:r>
      <w:r>
        <w:rPr>
          <w:rFonts w:hint="eastAsia" w:ascii="宋体"/>
          <w:sz w:val="24"/>
          <w:highlight w:val="none"/>
          <w:lang w:eastAsia="zh-CN"/>
        </w:rPr>
        <w:t>申请</w:t>
      </w:r>
      <w:r>
        <w:rPr>
          <w:rFonts w:hint="eastAsia" w:ascii="宋体"/>
          <w:sz w:val="24"/>
          <w:highlight w:val="none"/>
        </w:rPr>
        <w:t>文件的文号、分包号应当与比选供应商名称和比选</w:t>
      </w:r>
      <w:r>
        <w:rPr>
          <w:rFonts w:hint="eastAsia" w:ascii="宋体"/>
          <w:sz w:val="24"/>
          <w:highlight w:val="none"/>
          <w:lang w:eastAsia="zh-CN"/>
        </w:rPr>
        <w:t>申请</w:t>
      </w:r>
      <w:r>
        <w:rPr>
          <w:rFonts w:hint="eastAsia" w:ascii="宋体"/>
          <w:sz w:val="24"/>
          <w:highlight w:val="none"/>
        </w:rPr>
        <w:t>文件的文号、分包号一致。但是，比选</w:t>
      </w:r>
      <w:r>
        <w:rPr>
          <w:rFonts w:hint="eastAsia" w:ascii="宋体"/>
          <w:sz w:val="24"/>
          <w:highlight w:val="none"/>
          <w:lang w:eastAsia="zh-CN"/>
        </w:rPr>
        <w:t>申请</w:t>
      </w:r>
      <w:r>
        <w:rPr>
          <w:rFonts w:hint="eastAsia" w:ascii="宋体"/>
          <w:sz w:val="24"/>
          <w:highlight w:val="none"/>
        </w:rPr>
        <w:t>文件实质内容报名供应商名称和比选</w:t>
      </w:r>
      <w:r>
        <w:rPr>
          <w:rFonts w:hint="eastAsia" w:ascii="宋体"/>
          <w:sz w:val="24"/>
          <w:highlight w:val="none"/>
          <w:lang w:eastAsia="zh-CN"/>
        </w:rPr>
        <w:t>申请</w:t>
      </w:r>
      <w:r>
        <w:rPr>
          <w:rFonts w:hint="eastAsia" w:ascii="宋体"/>
          <w:sz w:val="24"/>
          <w:highlight w:val="none"/>
        </w:rPr>
        <w:t>文件的文号、分包号一致，只是封面文字错误的，可以在评标过程中当面予以澄清，以有效的澄清材料作为认定比选</w:t>
      </w:r>
      <w:r>
        <w:rPr>
          <w:rFonts w:hint="eastAsia" w:ascii="宋体"/>
          <w:sz w:val="24"/>
          <w:highlight w:val="none"/>
          <w:lang w:eastAsia="zh-CN"/>
        </w:rPr>
        <w:t>申请</w:t>
      </w:r>
      <w:r>
        <w:rPr>
          <w:rFonts w:hint="eastAsia" w:ascii="宋体"/>
          <w:sz w:val="24"/>
          <w:highlight w:val="none"/>
        </w:rPr>
        <w:t>文件是否有效的依据。</w:t>
      </w:r>
    </w:p>
    <w:p>
      <w:pPr>
        <w:tabs>
          <w:tab w:val="left" w:pos="1095"/>
        </w:tabs>
        <w:spacing w:line="400" w:lineRule="exact"/>
        <w:ind w:firstLine="460" w:firstLineChars="192"/>
        <w:rPr>
          <w:rFonts w:hint="eastAsia" w:ascii="宋体"/>
          <w:sz w:val="24"/>
          <w:highlight w:val="none"/>
        </w:rPr>
      </w:pPr>
      <w:r>
        <w:rPr>
          <w:rFonts w:hint="eastAsia" w:ascii="宋体"/>
          <w:sz w:val="24"/>
          <w:highlight w:val="none"/>
        </w:rPr>
        <w:t>17.3本次比选不接收邮寄的比选</w:t>
      </w:r>
      <w:r>
        <w:rPr>
          <w:rFonts w:hint="eastAsia" w:ascii="宋体"/>
          <w:sz w:val="24"/>
          <w:highlight w:val="none"/>
          <w:lang w:eastAsia="zh-CN"/>
        </w:rPr>
        <w:t>申请</w:t>
      </w:r>
      <w:r>
        <w:rPr>
          <w:rFonts w:hint="eastAsia" w:ascii="宋体"/>
          <w:sz w:val="24"/>
          <w:highlight w:val="none"/>
        </w:rPr>
        <w:t>文件。</w:t>
      </w:r>
    </w:p>
    <w:p>
      <w:pPr>
        <w:pStyle w:val="5"/>
        <w:spacing w:line="400" w:lineRule="exact"/>
        <w:jc w:val="center"/>
        <w:rPr>
          <w:rFonts w:hint="eastAsia"/>
          <w:highlight w:val="none"/>
        </w:rPr>
      </w:pPr>
      <w:bookmarkStart w:id="73" w:name="_Toc183682368"/>
      <w:bookmarkStart w:id="74" w:name="_Toc77400782"/>
      <w:bookmarkStart w:id="75" w:name="_Toc217446056"/>
      <w:bookmarkStart w:id="76" w:name="_Toc89075878"/>
      <w:bookmarkStart w:id="77" w:name="_Toc308164805"/>
      <w:bookmarkStart w:id="78" w:name="_Toc183582231"/>
      <w:r>
        <w:rPr>
          <w:rFonts w:hint="eastAsia"/>
          <w:highlight w:val="none"/>
        </w:rPr>
        <w:t>五、比选和</w:t>
      </w:r>
      <w:bookmarkEnd w:id="73"/>
      <w:bookmarkEnd w:id="74"/>
      <w:bookmarkEnd w:id="75"/>
      <w:bookmarkEnd w:id="76"/>
      <w:bookmarkEnd w:id="77"/>
      <w:bookmarkEnd w:id="78"/>
      <w:r>
        <w:rPr>
          <w:rFonts w:hint="eastAsia"/>
          <w:highlight w:val="none"/>
        </w:rPr>
        <w:t>公示</w:t>
      </w:r>
    </w:p>
    <w:p>
      <w:pPr>
        <w:pStyle w:val="6"/>
        <w:spacing w:line="400" w:lineRule="exact"/>
        <w:ind w:firstLine="481" w:firstLineChars="200"/>
        <w:rPr>
          <w:rFonts w:hint="eastAsia" w:ascii="宋体"/>
          <w:bCs w:val="0"/>
          <w:sz w:val="24"/>
          <w:highlight w:val="none"/>
        </w:rPr>
      </w:pPr>
      <w:bookmarkStart w:id="79" w:name="_Toc183582232"/>
      <w:bookmarkStart w:id="80" w:name="_Toc217446057"/>
      <w:bookmarkStart w:id="81" w:name="_Toc183682369"/>
      <w:bookmarkStart w:id="82" w:name="_Toc308164806"/>
      <w:r>
        <w:rPr>
          <w:rFonts w:hint="eastAsia" w:ascii="宋体"/>
          <w:bCs w:val="0"/>
          <w:sz w:val="24"/>
          <w:highlight w:val="none"/>
        </w:rPr>
        <w:t>18．</w:t>
      </w:r>
      <w:bookmarkEnd w:id="79"/>
      <w:bookmarkEnd w:id="80"/>
      <w:bookmarkEnd w:id="81"/>
      <w:bookmarkEnd w:id="82"/>
      <w:r>
        <w:rPr>
          <w:rFonts w:hint="eastAsia" w:ascii="宋体"/>
          <w:bCs w:val="0"/>
          <w:sz w:val="24"/>
          <w:highlight w:val="none"/>
        </w:rPr>
        <w:t>比选</w:t>
      </w:r>
    </w:p>
    <w:p>
      <w:pPr>
        <w:spacing w:before="120" w:line="400" w:lineRule="exact"/>
        <w:ind w:firstLine="480" w:firstLineChars="200"/>
        <w:rPr>
          <w:rFonts w:hint="eastAsia" w:ascii="宋体"/>
          <w:sz w:val="24"/>
          <w:highlight w:val="none"/>
        </w:rPr>
      </w:pPr>
      <w:r>
        <w:rPr>
          <w:rFonts w:hint="eastAsia" w:ascii="宋体"/>
          <w:sz w:val="24"/>
          <w:highlight w:val="none"/>
        </w:rPr>
        <w:t>18.1 比选在比选文件规定的时间和地点公开进行，比选人、供应商须派代表参加并签到以证明其出席。比选由比选人工作人员主持，供应商代表、财政专家参加。</w:t>
      </w:r>
    </w:p>
    <w:p>
      <w:pPr>
        <w:spacing w:line="400" w:lineRule="exact"/>
        <w:ind w:firstLine="480" w:firstLineChars="200"/>
        <w:rPr>
          <w:rFonts w:hint="eastAsia" w:ascii="宋体"/>
          <w:sz w:val="24"/>
          <w:highlight w:val="none"/>
        </w:rPr>
      </w:pPr>
      <w:r>
        <w:rPr>
          <w:rFonts w:hint="eastAsia" w:ascii="宋体"/>
          <w:sz w:val="24"/>
          <w:highlight w:val="none"/>
        </w:rPr>
        <w:t>18.2 比选时，邀请监督管理部门对开标活动进行现场监督。</w:t>
      </w:r>
    </w:p>
    <w:p>
      <w:pPr>
        <w:spacing w:line="400" w:lineRule="exact"/>
        <w:ind w:firstLine="480" w:firstLineChars="200"/>
        <w:rPr>
          <w:rFonts w:hint="eastAsia" w:ascii="宋体"/>
          <w:sz w:val="24"/>
          <w:highlight w:val="none"/>
        </w:rPr>
      </w:pPr>
      <w:r>
        <w:rPr>
          <w:rFonts w:hint="eastAsia" w:ascii="宋体"/>
          <w:sz w:val="24"/>
          <w:highlight w:val="none"/>
        </w:rPr>
        <w:t>18.3 比选时，由供应商或者其推选的代表检查其自己递交的比选</w:t>
      </w:r>
      <w:r>
        <w:rPr>
          <w:rFonts w:hint="eastAsia" w:ascii="宋体"/>
          <w:sz w:val="24"/>
          <w:highlight w:val="none"/>
          <w:lang w:eastAsia="zh-CN"/>
        </w:rPr>
        <w:t>申请</w:t>
      </w:r>
      <w:r>
        <w:rPr>
          <w:rFonts w:hint="eastAsia" w:ascii="宋体"/>
          <w:sz w:val="24"/>
          <w:highlight w:val="none"/>
        </w:rPr>
        <w:t>文件的密封情况，经确认无误后，由比选工作人员将供应商单独递交的“开标一览表”当众拆封，并由相关人员按照比选文件规定的内容进行宣读。</w:t>
      </w:r>
    </w:p>
    <w:p>
      <w:pPr>
        <w:spacing w:line="400" w:lineRule="exact"/>
        <w:ind w:firstLine="480" w:firstLineChars="200"/>
        <w:rPr>
          <w:rFonts w:hint="eastAsia" w:ascii="宋体"/>
          <w:sz w:val="24"/>
          <w:highlight w:val="none"/>
        </w:rPr>
      </w:pPr>
      <w:r>
        <w:rPr>
          <w:rFonts w:hint="eastAsia" w:ascii="宋体"/>
          <w:sz w:val="24"/>
          <w:highlight w:val="none"/>
        </w:rPr>
        <w:t>供应商或者其推选的代表确认比选</w:t>
      </w:r>
      <w:r>
        <w:rPr>
          <w:rFonts w:hint="eastAsia" w:ascii="宋体"/>
          <w:sz w:val="24"/>
          <w:highlight w:val="none"/>
          <w:lang w:eastAsia="zh-CN"/>
        </w:rPr>
        <w:t>申请</w:t>
      </w:r>
      <w:r>
        <w:rPr>
          <w:rFonts w:hint="eastAsia" w:ascii="宋体"/>
          <w:sz w:val="24"/>
          <w:highlight w:val="none"/>
        </w:rPr>
        <w:t>文件情况，仅限于确认其自己递交的比选</w:t>
      </w:r>
      <w:r>
        <w:rPr>
          <w:rFonts w:hint="eastAsia" w:ascii="宋体"/>
          <w:sz w:val="24"/>
          <w:highlight w:val="none"/>
          <w:lang w:eastAsia="zh-CN"/>
        </w:rPr>
        <w:t>申请</w:t>
      </w:r>
      <w:r>
        <w:rPr>
          <w:rFonts w:hint="eastAsia" w:ascii="宋体"/>
          <w:sz w:val="24"/>
          <w:highlight w:val="none"/>
        </w:rPr>
        <w:t>文件的密封情况，不代表对其他供应商的比选</w:t>
      </w:r>
      <w:r>
        <w:rPr>
          <w:rFonts w:hint="eastAsia" w:ascii="宋体"/>
          <w:sz w:val="24"/>
          <w:highlight w:val="none"/>
          <w:lang w:eastAsia="zh-CN"/>
        </w:rPr>
        <w:t>申请</w:t>
      </w:r>
      <w:r>
        <w:rPr>
          <w:rFonts w:hint="eastAsia" w:ascii="宋体"/>
          <w:sz w:val="24"/>
          <w:highlight w:val="none"/>
        </w:rPr>
        <w:t>文件的密封情况确认。供应商或者其推选的代表对其他供应商的比选</w:t>
      </w:r>
      <w:r>
        <w:rPr>
          <w:rFonts w:hint="eastAsia" w:ascii="宋体"/>
          <w:sz w:val="24"/>
          <w:highlight w:val="none"/>
          <w:lang w:eastAsia="zh-CN"/>
        </w:rPr>
        <w:t>申请</w:t>
      </w:r>
      <w:r>
        <w:rPr>
          <w:rFonts w:hint="eastAsia" w:ascii="宋体"/>
          <w:sz w:val="24"/>
          <w:highlight w:val="none"/>
        </w:rPr>
        <w:t>文件密封情况有异议的，可以当场反映主持人或者现场监督人员，要求比选现场记录人员予以记录，并在比选时予以认定处理，但不得干扰、阻挠比选工作的正常进行。</w:t>
      </w:r>
    </w:p>
    <w:p>
      <w:pPr>
        <w:spacing w:line="400" w:lineRule="exact"/>
        <w:ind w:firstLine="480" w:firstLineChars="200"/>
        <w:rPr>
          <w:rFonts w:hint="eastAsia" w:ascii="宋体"/>
          <w:sz w:val="24"/>
          <w:highlight w:val="none"/>
        </w:rPr>
      </w:pPr>
      <w:r>
        <w:rPr>
          <w:rFonts w:hint="eastAsia" w:ascii="宋体"/>
          <w:sz w:val="24"/>
          <w:highlight w:val="none"/>
        </w:rPr>
        <w:t>18.4 比选时，“开标一览表”中的大写金额与小写金额不一致的，以大写金额为准；总价金额与按单价计算的汇总金额不一致的，以单价计算的汇总金额为准；单价金额有明显小数点错误的，以总价为准，并修改单价。</w:t>
      </w:r>
    </w:p>
    <w:p>
      <w:pPr>
        <w:spacing w:line="400" w:lineRule="exact"/>
        <w:ind w:firstLine="480" w:firstLineChars="200"/>
        <w:rPr>
          <w:rFonts w:hint="eastAsia" w:ascii="宋体"/>
          <w:sz w:val="24"/>
          <w:highlight w:val="none"/>
        </w:rPr>
      </w:pPr>
      <w:r>
        <w:rPr>
          <w:rFonts w:hint="eastAsia" w:ascii="宋体"/>
          <w:sz w:val="24"/>
          <w:highlight w:val="none"/>
        </w:rPr>
        <w:t>18.5 比选</w:t>
      </w:r>
      <w:r>
        <w:rPr>
          <w:rFonts w:hint="eastAsia" w:ascii="宋体"/>
          <w:sz w:val="24"/>
          <w:highlight w:val="none"/>
          <w:lang w:eastAsia="zh-CN"/>
        </w:rPr>
        <w:t>申请</w:t>
      </w:r>
      <w:r>
        <w:rPr>
          <w:rFonts w:hint="eastAsia" w:ascii="宋体"/>
          <w:sz w:val="24"/>
          <w:highlight w:val="none"/>
        </w:rPr>
        <w:t>文件中相关内容与“开标一览表”不一致的，以“开标一览表”为准。对不同文字文本比选</w:t>
      </w:r>
      <w:r>
        <w:rPr>
          <w:rFonts w:hint="eastAsia" w:ascii="宋体"/>
          <w:sz w:val="24"/>
          <w:highlight w:val="none"/>
          <w:lang w:eastAsia="zh-CN"/>
        </w:rPr>
        <w:t>申请</w:t>
      </w:r>
      <w:r>
        <w:rPr>
          <w:rFonts w:hint="eastAsia" w:ascii="宋体"/>
          <w:sz w:val="24"/>
          <w:highlight w:val="none"/>
        </w:rPr>
        <w:t>文件的解释发生异议的，以中文文本为准。</w:t>
      </w:r>
    </w:p>
    <w:p>
      <w:pPr>
        <w:spacing w:line="400" w:lineRule="exact"/>
        <w:ind w:firstLine="480" w:firstLineChars="200"/>
        <w:rPr>
          <w:rFonts w:hint="eastAsia" w:ascii="宋体"/>
          <w:sz w:val="24"/>
          <w:highlight w:val="none"/>
        </w:rPr>
      </w:pPr>
      <w:r>
        <w:rPr>
          <w:rFonts w:hint="eastAsia" w:ascii="宋体"/>
          <w:sz w:val="24"/>
          <w:highlight w:val="none"/>
        </w:rPr>
        <w:t>18.6 所有比选宣读完毕，如供应商代表对宣读的“开标一览表”上的内容有异议的，应在获得主持人同意后当场提出。如确实属于宣读人员错误，经现场监督人员核实后，当场予以更正。</w:t>
      </w:r>
    </w:p>
    <w:p>
      <w:pPr>
        <w:spacing w:line="400" w:lineRule="exact"/>
        <w:ind w:firstLine="480" w:firstLineChars="200"/>
        <w:rPr>
          <w:rFonts w:hint="eastAsia" w:ascii="宋体"/>
          <w:sz w:val="24"/>
          <w:highlight w:val="none"/>
        </w:rPr>
      </w:pPr>
      <w:r>
        <w:rPr>
          <w:rFonts w:hint="eastAsia" w:ascii="宋体"/>
          <w:sz w:val="24"/>
          <w:highlight w:val="none"/>
        </w:rPr>
        <w:t>18.7所有供应商代表应立即退场（比选文件要求有演示、介绍等的除外）。同时所有供应商应保持通讯设备的畅通，以方便在比选过程中审查评定小组要求供应商对比选</w:t>
      </w:r>
      <w:r>
        <w:rPr>
          <w:rFonts w:hint="eastAsia" w:ascii="宋体"/>
          <w:sz w:val="24"/>
          <w:highlight w:val="none"/>
          <w:lang w:eastAsia="zh-CN"/>
        </w:rPr>
        <w:t>申请</w:t>
      </w:r>
      <w:r>
        <w:rPr>
          <w:rFonts w:hint="eastAsia" w:ascii="宋体"/>
          <w:sz w:val="24"/>
          <w:highlight w:val="none"/>
        </w:rPr>
        <w:t>文件的必要澄清、说明和纠正。比选结果供应商在</w:t>
      </w:r>
      <w:r>
        <w:rPr>
          <w:rFonts w:hint="eastAsia" w:ascii="宋体" w:hAnsi="宋体" w:cs="宋体"/>
          <w:spacing w:val="8"/>
          <w:sz w:val="24"/>
          <w:highlight w:val="none"/>
        </w:rPr>
        <w:t>四川省文物局网站http://wwj.sc.gov.cn/</w:t>
      </w:r>
      <w:r>
        <w:rPr>
          <w:rFonts w:hint="eastAsia" w:ascii="宋体"/>
          <w:sz w:val="24"/>
          <w:highlight w:val="none"/>
        </w:rPr>
        <w:t>网上查询。</w:t>
      </w:r>
    </w:p>
    <w:p>
      <w:pPr>
        <w:spacing w:line="400" w:lineRule="exact"/>
        <w:rPr>
          <w:rFonts w:hint="eastAsia" w:ascii="宋体"/>
          <w:sz w:val="24"/>
          <w:highlight w:val="none"/>
        </w:rPr>
      </w:pPr>
      <w:bookmarkStart w:id="83" w:name="_Toc183682375"/>
      <w:bookmarkStart w:id="84" w:name="_Toc217446063"/>
      <w:bookmarkStart w:id="85" w:name="_Toc308164809"/>
      <w:bookmarkStart w:id="86" w:name="_Toc183582238"/>
    </w:p>
    <w:p>
      <w:pPr>
        <w:spacing w:line="400" w:lineRule="exact"/>
        <w:ind w:firstLine="481" w:firstLineChars="200"/>
        <w:rPr>
          <w:rFonts w:hint="eastAsia" w:ascii="宋体"/>
          <w:b/>
          <w:sz w:val="24"/>
          <w:highlight w:val="none"/>
        </w:rPr>
      </w:pPr>
      <w:r>
        <w:rPr>
          <w:rFonts w:hint="eastAsia" w:ascii="宋体"/>
          <w:b/>
          <w:sz w:val="24"/>
          <w:highlight w:val="none"/>
        </w:rPr>
        <w:t>20.比选情况公告</w:t>
      </w:r>
    </w:p>
    <w:p>
      <w:pPr>
        <w:spacing w:line="400" w:lineRule="exact"/>
        <w:ind w:firstLine="481" w:firstLineChars="200"/>
        <w:rPr>
          <w:rFonts w:hint="eastAsia" w:ascii="宋体"/>
          <w:b/>
          <w:sz w:val="24"/>
          <w:highlight w:val="none"/>
        </w:rPr>
      </w:pPr>
    </w:p>
    <w:p>
      <w:pPr>
        <w:spacing w:line="400" w:lineRule="exact"/>
        <w:ind w:firstLine="480" w:firstLineChars="200"/>
        <w:rPr>
          <w:rFonts w:hint="eastAsia" w:ascii="宋体"/>
          <w:sz w:val="24"/>
          <w:highlight w:val="none"/>
        </w:rPr>
      </w:pPr>
      <w:r>
        <w:rPr>
          <w:rFonts w:hint="eastAsia" w:ascii="宋体"/>
          <w:sz w:val="24"/>
          <w:highlight w:val="none"/>
        </w:rPr>
        <w:t>所有供应商比选</w:t>
      </w:r>
      <w:r>
        <w:rPr>
          <w:rFonts w:hint="eastAsia" w:ascii="宋体"/>
          <w:sz w:val="24"/>
          <w:highlight w:val="none"/>
          <w:lang w:eastAsia="zh-CN"/>
        </w:rPr>
        <w:t>申请</w:t>
      </w:r>
      <w:r>
        <w:rPr>
          <w:rFonts w:hint="eastAsia" w:ascii="宋体"/>
          <w:sz w:val="24"/>
          <w:highlight w:val="none"/>
        </w:rPr>
        <w:t>文件资格性、符合性检查情况、采用综合评分法时的总得分和分项汇总得分情况、比选结果等将在</w:t>
      </w:r>
      <w:r>
        <w:rPr>
          <w:rFonts w:hint="eastAsia" w:ascii="宋体" w:hAnsi="宋体" w:cs="宋体"/>
          <w:spacing w:val="8"/>
          <w:sz w:val="24"/>
          <w:highlight w:val="none"/>
        </w:rPr>
        <w:t>四川省文物局网站http://wwj.sc.gov.cn/</w:t>
      </w:r>
      <w:r>
        <w:rPr>
          <w:rFonts w:hint="eastAsia" w:ascii="宋体"/>
          <w:sz w:val="24"/>
          <w:highlight w:val="none"/>
        </w:rPr>
        <w:t>网上予以公告。</w:t>
      </w:r>
    </w:p>
    <w:bookmarkEnd w:id="83"/>
    <w:bookmarkEnd w:id="84"/>
    <w:bookmarkEnd w:id="85"/>
    <w:bookmarkEnd w:id="86"/>
    <w:p>
      <w:pPr>
        <w:pStyle w:val="5"/>
        <w:spacing w:line="400" w:lineRule="exact"/>
        <w:jc w:val="center"/>
        <w:rPr>
          <w:rFonts w:hint="eastAsia" w:ascii="黑体"/>
          <w:szCs w:val="28"/>
          <w:highlight w:val="none"/>
        </w:rPr>
      </w:pPr>
      <w:bookmarkStart w:id="87" w:name="_Toc308164810"/>
      <w:bookmarkStart w:id="88" w:name="_Toc217446064"/>
      <w:bookmarkStart w:id="89" w:name="_Toc183682377"/>
      <w:bookmarkStart w:id="90" w:name="_Toc183582240"/>
      <w:r>
        <w:rPr>
          <w:rFonts w:hint="eastAsia" w:ascii="黑体"/>
          <w:szCs w:val="28"/>
          <w:highlight w:val="none"/>
        </w:rPr>
        <w:t>六、签订及履行合同和验收</w:t>
      </w:r>
      <w:bookmarkEnd w:id="87"/>
      <w:bookmarkEnd w:id="88"/>
    </w:p>
    <w:p>
      <w:pPr>
        <w:pStyle w:val="6"/>
        <w:spacing w:line="400" w:lineRule="exact"/>
        <w:ind w:firstLine="481" w:firstLineChars="200"/>
        <w:rPr>
          <w:rFonts w:hint="eastAsia" w:ascii="宋体"/>
          <w:b w:val="0"/>
          <w:sz w:val="24"/>
          <w:szCs w:val="24"/>
          <w:highlight w:val="none"/>
        </w:rPr>
      </w:pPr>
      <w:bookmarkStart w:id="91" w:name="_Toc217446065"/>
      <w:bookmarkStart w:id="92" w:name="_Toc308164811"/>
      <w:r>
        <w:rPr>
          <w:rFonts w:hint="eastAsia" w:ascii="宋体"/>
          <w:sz w:val="24"/>
          <w:highlight w:val="none"/>
        </w:rPr>
        <w:t>21.</w:t>
      </w:r>
      <w:r>
        <w:rPr>
          <w:rFonts w:hint="eastAsia" w:ascii="宋体"/>
          <w:b w:val="0"/>
          <w:sz w:val="24"/>
          <w:highlight w:val="none"/>
        </w:rPr>
        <w:t xml:space="preserve"> </w:t>
      </w:r>
      <w:r>
        <w:rPr>
          <w:rFonts w:hint="eastAsia" w:ascii="宋体"/>
          <w:sz w:val="24"/>
          <w:szCs w:val="24"/>
          <w:highlight w:val="none"/>
        </w:rPr>
        <w:t>签订合同</w:t>
      </w:r>
      <w:bookmarkEnd w:id="91"/>
      <w:bookmarkEnd w:id="92"/>
    </w:p>
    <w:p>
      <w:pPr>
        <w:spacing w:line="400" w:lineRule="exact"/>
        <w:ind w:firstLine="480" w:firstLineChars="200"/>
        <w:rPr>
          <w:rFonts w:hint="eastAsia" w:ascii="宋体"/>
          <w:sz w:val="24"/>
          <w:highlight w:val="none"/>
        </w:rPr>
      </w:pPr>
      <w:r>
        <w:rPr>
          <w:rFonts w:hint="eastAsia" w:ascii="宋体"/>
          <w:sz w:val="24"/>
          <w:highlight w:val="none"/>
        </w:rPr>
        <w:t>21.1 中标人应在比选结果公告发出7日后与比选人签订采购合同（三十日内）。由于中标人的原因逾期未与比选人签订采购合同的，将视为放弃中标，取消其中标资格并将按相关规定进行处理。</w:t>
      </w:r>
    </w:p>
    <w:p>
      <w:pPr>
        <w:spacing w:line="400" w:lineRule="exact"/>
        <w:ind w:firstLine="420" w:firstLineChars="175"/>
        <w:rPr>
          <w:rFonts w:hint="eastAsia" w:ascii="宋体"/>
          <w:sz w:val="24"/>
          <w:highlight w:val="none"/>
        </w:rPr>
      </w:pPr>
      <w:r>
        <w:rPr>
          <w:rFonts w:hint="eastAsia" w:ascii="宋体"/>
          <w:sz w:val="24"/>
          <w:highlight w:val="none"/>
        </w:rPr>
        <w:t>21.2 比选人不得向中标人提出任何不合理的要求，作为签订合同的条件，不得与中标人私下订立背离合同实质性内容的任何协议，所签订的合同不得对比选文件和中标人比选</w:t>
      </w:r>
      <w:r>
        <w:rPr>
          <w:rFonts w:hint="eastAsia" w:ascii="宋体"/>
          <w:sz w:val="24"/>
          <w:highlight w:val="none"/>
          <w:lang w:eastAsia="zh-CN"/>
        </w:rPr>
        <w:t>申请</w:t>
      </w:r>
      <w:r>
        <w:rPr>
          <w:rFonts w:hint="eastAsia" w:ascii="宋体"/>
          <w:sz w:val="24"/>
          <w:highlight w:val="none"/>
        </w:rPr>
        <w:t>文件确定的事项进行修改。</w:t>
      </w:r>
    </w:p>
    <w:p>
      <w:pPr>
        <w:spacing w:line="400" w:lineRule="exact"/>
        <w:ind w:firstLine="420" w:firstLineChars="175"/>
        <w:rPr>
          <w:rFonts w:hint="eastAsia" w:ascii="宋体"/>
          <w:sz w:val="24"/>
          <w:highlight w:val="none"/>
        </w:rPr>
      </w:pPr>
      <w:r>
        <w:rPr>
          <w:rFonts w:hint="eastAsia" w:ascii="宋体"/>
          <w:sz w:val="24"/>
          <w:highlight w:val="none"/>
        </w:rPr>
        <w:t>21.3 中标人因不可抗力原因不能履行采购合同或放弃中标的，比选人可以与排在中标人之后第一位的中标候选人签订采购合同，以此类推。</w:t>
      </w:r>
    </w:p>
    <w:p>
      <w:pPr>
        <w:pStyle w:val="5"/>
        <w:spacing w:line="400" w:lineRule="exact"/>
        <w:ind w:firstLine="481" w:firstLineChars="200"/>
        <w:rPr>
          <w:rFonts w:hint="eastAsia" w:ascii="宋体" w:eastAsia="宋体"/>
          <w:sz w:val="24"/>
          <w:szCs w:val="24"/>
          <w:highlight w:val="none"/>
        </w:rPr>
      </w:pPr>
      <w:r>
        <w:rPr>
          <w:rFonts w:hint="eastAsia" w:ascii="宋体" w:eastAsia="宋体"/>
          <w:sz w:val="24"/>
          <w:szCs w:val="24"/>
          <w:highlight w:val="none"/>
        </w:rPr>
        <w:t>22. 合同分包（实质性要求）</w:t>
      </w:r>
    </w:p>
    <w:p>
      <w:pPr>
        <w:spacing w:line="400" w:lineRule="exact"/>
        <w:ind w:firstLine="540" w:firstLineChars="225"/>
        <w:rPr>
          <w:rFonts w:hint="eastAsia" w:ascii="宋体" w:eastAsia="宋体"/>
          <w:sz w:val="24"/>
          <w:highlight w:val="none"/>
          <w:lang w:eastAsia="zh-CN"/>
        </w:rPr>
      </w:pPr>
      <w:r>
        <w:rPr>
          <w:rFonts w:hint="eastAsia" w:ascii="宋体"/>
          <w:sz w:val="24"/>
          <w:highlight w:val="none"/>
          <w:lang w:eastAsia="zh-CN"/>
        </w:rPr>
        <w:t>本次比选不接受合同分包。</w:t>
      </w:r>
    </w:p>
    <w:p>
      <w:pPr>
        <w:pStyle w:val="5"/>
        <w:spacing w:line="400" w:lineRule="exact"/>
        <w:ind w:firstLine="481" w:firstLineChars="200"/>
        <w:rPr>
          <w:rFonts w:hint="eastAsia" w:ascii="宋体" w:eastAsia="宋体"/>
          <w:sz w:val="24"/>
          <w:szCs w:val="24"/>
          <w:highlight w:val="none"/>
        </w:rPr>
      </w:pPr>
      <w:r>
        <w:rPr>
          <w:rFonts w:hint="eastAsia" w:ascii="宋体" w:eastAsia="宋体"/>
          <w:sz w:val="24"/>
          <w:szCs w:val="24"/>
          <w:highlight w:val="none"/>
        </w:rPr>
        <w:t>23.合同转包（实质性要求）</w:t>
      </w:r>
    </w:p>
    <w:p>
      <w:pPr>
        <w:spacing w:line="400" w:lineRule="exact"/>
        <w:ind w:firstLine="540" w:firstLineChars="225"/>
        <w:rPr>
          <w:rFonts w:hint="eastAsia" w:ascii="宋体"/>
          <w:sz w:val="24"/>
          <w:highlight w:val="none"/>
        </w:rPr>
      </w:pPr>
      <w:r>
        <w:rPr>
          <w:rFonts w:hint="eastAsia" w:ascii="宋体"/>
          <w:sz w:val="24"/>
          <w:highlight w:val="none"/>
          <w:lang w:eastAsia="zh-CN"/>
        </w:rPr>
        <w:t>本次比选不接受合同转包</w:t>
      </w:r>
      <w:r>
        <w:rPr>
          <w:rFonts w:hint="eastAsia" w:ascii="宋体"/>
          <w:sz w:val="24"/>
          <w:highlight w:val="none"/>
        </w:rPr>
        <w:t>。</w:t>
      </w:r>
    </w:p>
    <w:p>
      <w:pPr>
        <w:spacing w:line="400" w:lineRule="exact"/>
        <w:ind w:firstLine="540" w:firstLineChars="225"/>
        <w:rPr>
          <w:rFonts w:hint="eastAsia" w:ascii="宋体"/>
          <w:sz w:val="24"/>
          <w:highlight w:val="none"/>
        </w:rPr>
      </w:pPr>
      <w:r>
        <w:rPr>
          <w:rFonts w:hint="eastAsia" w:ascii="宋体"/>
          <w:sz w:val="24"/>
          <w:highlight w:val="none"/>
        </w:rPr>
        <w:t>中标人转包的，视同拒绝履行合同义务，将依法追究法律责任。</w:t>
      </w:r>
    </w:p>
    <w:p>
      <w:pPr>
        <w:pStyle w:val="5"/>
        <w:spacing w:line="400" w:lineRule="exact"/>
        <w:ind w:firstLine="481" w:firstLineChars="200"/>
        <w:rPr>
          <w:rFonts w:hint="eastAsia" w:ascii="宋体" w:eastAsia="宋体"/>
          <w:sz w:val="24"/>
          <w:szCs w:val="24"/>
          <w:highlight w:val="none"/>
        </w:rPr>
      </w:pPr>
      <w:bookmarkStart w:id="93" w:name="_Toc217446066"/>
      <w:r>
        <w:rPr>
          <w:rFonts w:hint="eastAsia" w:ascii="宋体" w:eastAsia="宋体"/>
          <w:sz w:val="24"/>
          <w:szCs w:val="24"/>
          <w:highlight w:val="none"/>
        </w:rPr>
        <w:t>24.</w:t>
      </w:r>
      <w:bookmarkEnd w:id="93"/>
      <w:r>
        <w:rPr>
          <w:rFonts w:hint="eastAsia" w:ascii="宋体" w:eastAsia="宋体"/>
          <w:sz w:val="24"/>
          <w:szCs w:val="24"/>
          <w:highlight w:val="none"/>
        </w:rPr>
        <w:t xml:space="preserve"> 补充合同</w:t>
      </w:r>
    </w:p>
    <w:p>
      <w:pPr>
        <w:spacing w:line="400" w:lineRule="exact"/>
        <w:ind w:firstLine="480" w:firstLineChars="200"/>
        <w:rPr>
          <w:rFonts w:hint="eastAsia" w:ascii="宋体"/>
          <w:sz w:val="24"/>
          <w:highlight w:val="none"/>
        </w:rPr>
      </w:pPr>
      <w:r>
        <w:rPr>
          <w:rFonts w:hint="eastAsia" w:ascii="宋体"/>
          <w:sz w:val="24"/>
          <w:highlight w:val="none"/>
        </w:rPr>
        <w:t xml:space="preserve">采购合同履行过程中，比选人需要追加与合同标的相同的货物或者服务的，在不改变合同其他条款的前提下，可以与中标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pPr>
        <w:pStyle w:val="6"/>
        <w:spacing w:line="400" w:lineRule="exact"/>
        <w:ind w:firstLine="481" w:firstLineChars="200"/>
        <w:rPr>
          <w:rFonts w:hint="eastAsia" w:ascii="宋体"/>
          <w:b w:val="0"/>
          <w:sz w:val="24"/>
          <w:szCs w:val="24"/>
          <w:highlight w:val="none"/>
        </w:rPr>
      </w:pPr>
      <w:bookmarkStart w:id="94" w:name="_Toc217446069"/>
      <w:bookmarkStart w:id="95" w:name="_Toc308164813"/>
      <w:r>
        <w:rPr>
          <w:rFonts w:hint="eastAsia" w:ascii="宋体"/>
          <w:sz w:val="24"/>
          <w:szCs w:val="24"/>
          <w:highlight w:val="none"/>
        </w:rPr>
        <w:t>2</w:t>
      </w:r>
      <w:r>
        <w:rPr>
          <w:rFonts w:hint="eastAsia" w:ascii="宋体"/>
          <w:sz w:val="24"/>
          <w:szCs w:val="24"/>
          <w:highlight w:val="none"/>
          <w:lang w:val="en-US" w:eastAsia="zh-CN"/>
        </w:rPr>
        <w:t>5</w:t>
      </w:r>
      <w:r>
        <w:rPr>
          <w:rFonts w:hint="eastAsia" w:ascii="宋体"/>
          <w:sz w:val="24"/>
          <w:szCs w:val="24"/>
          <w:highlight w:val="none"/>
        </w:rPr>
        <w:t>. 履行合同</w:t>
      </w:r>
      <w:bookmarkEnd w:id="94"/>
      <w:bookmarkEnd w:id="95"/>
    </w:p>
    <w:p>
      <w:pPr>
        <w:spacing w:line="400" w:lineRule="exact"/>
        <w:ind w:firstLine="480" w:firstLineChars="200"/>
        <w:rPr>
          <w:rFonts w:hint="eastAsia" w:ascii="宋体"/>
          <w:sz w:val="24"/>
          <w:highlight w:val="none"/>
        </w:rPr>
      </w:pPr>
      <w:r>
        <w:rPr>
          <w:rFonts w:hint="eastAsia" w:ascii="宋体"/>
          <w:sz w:val="24"/>
          <w:highlight w:val="none"/>
        </w:rPr>
        <w:t>2</w:t>
      </w:r>
      <w:r>
        <w:rPr>
          <w:rFonts w:hint="eastAsia" w:ascii="宋体"/>
          <w:sz w:val="24"/>
          <w:highlight w:val="none"/>
          <w:lang w:val="en-US" w:eastAsia="zh-CN"/>
        </w:rPr>
        <w:t>5</w:t>
      </w:r>
      <w:r>
        <w:rPr>
          <w:rFonts w:hint="eastAsia" w:ascii="宋体"/>
          <w:sz w:val="24"/>
          <w:highlight w:val="none"/>
        </w:rPr>
        <w:t>.1 中标人与比选人签订合同后，合同双方应严格执行合同条款，履行合同规定的义务，保证合同的顺利完成。</w:t>
      </w:r>
    </w:p>
    <w:p>
      <w:pPr>
        <w:spacing w:line="400" w:lineRule="exact"/>
        <w:ind w:firstLine="480" w:firstLineChars="200"/>
        <w:rPr>
          <w:rFonts w:hint="eastAsia" w:ascii="宋体"/>
          <w:sz w:val="24"/>
          <w:highlight w:val="none"/>
        </w:rPr>
      </w:pPr>
      <w:r>
        <w:rPr>
          <w:rFonts w:hint="eastAsia" w:ascii="宋体"/>
          <w:sz w:val="24"/>
          <w:highlight w:val="none"/>
        </w:rPr>
        <w:t>2</w:t>
      </w:r>
      <w:r>
        <w:rPr>
          <w:rFonts w:hint="eastAsia" w:ascii="宋体"/>
          <w:sz w:val="24"/>
          <w:highlight w:val="none"/>
          <w:lang w:val="en-US" w:eastAsia="zh-CN"/>
        </w:rPr>
        <w:t>5</w:t>
      </w:r>
      <w:r>
        <w:rPr>
          <w:rFonts w:hint="eastAsia" w:ascii="宋体"/>
          <w:sz w:val="24"/>
          <w:highlight w:val="none"/>
        </w:rPr>
        <w:t>.2 在合同履行过程中，如发生合同纠纷，合同双方应按照《合同法》的有关规定进行处理。</w:t>
      </w:r>
    </w:p>
    <w:p>
      <w:pPr>
        <w:pStyle w:val="6"/>
        <w:spacing w:line="400" w:lineRule="exact"/>
        <w:ind w:firstLine="481" w:firstLineChars="200"/>
        <w:rPr>
          <w:rFonts w:hint="eastAsia" w:ascii="宋体"/>
          <w:b w:val="0"/>
          <w:sz w:val="24"/>
          <w:szCs w:val="24"/>
          <w:highlight w:val="none"/>
        </w:rPr>
      </w:pPr>
      <w:bookmarkStart w:id="96" w:name="_Toc217446070"/>
      <w:bookmarkStart w:id="97" w:name="_Toc308164814"/>
      <w:r>
        <w:rPr>
          <w:rFonts w:hint="eastAsia" w:ascii="宋体"/>
          <w:sz w:val="24"/>
          <w:szCs w:val="24"/>
          <w:highlight w:val="none"/>
        </w:rPr>
        <w:t>2</w:t>
      </w:r>
      <w:r>
        <w:rPr>
          <w:rFonts w:hint="eastAsia" w:ascii="宋体"/>
          <w:sz w:val="24"/>
          <w:szCs w:val="24"/>
          <w:highlight w:val="none"/>
          <w:lang w:val="en-US" w:eastAsia="zh-CN"/>
        </w:rPr>
        <w:t>6</w:t>
      </w:r>
      <w:r>
        <w:rPr>
          <w:rFonts w:hint="eastAsia" w:ascii="宋体"/>
          <w:sz w:val="24"/>
          <w:szCs w:val="24"/>
          <w:highlight w:val="none"/>
        </w:rPr>
        <w:t>. 验收</w:t>
      </w:r>
      <w:bookmarkEnd w:id="96"/>
      <w:bookmarkEnd w:id="97"/>
    </w:p>
    <w:p>
      <w:pPr>
        <w:spacing w:line="400" w:lineRule="exact"/>
        <w:ind w:firstLine="480" w:firstLineChars="200"/>
        <w:rPr>
          <w:rFonts w:hint="eastAsia" w:ascii="宋体"/>
          <w:sz w:val="24"/>
          <w:highlight w:val="none"/>
        </w:rPr>
      </w:pPr>
      <w:r>
        <w:rPr>
          <w:rFonts w:hint="eastAsia" w:ascii="宋体"/>
          <w:sz w:val="24"/>
          <w:highlight w:val="none"/>
        </w:rPr>
        <w:t>本项目比选人将</w:t>
      </w:r>
      <w:r>
        <w:rPr>
          <w:rFonts w:hint="eastAsia" w:ascii="宋体"/>
          <w:sz w:val="24"/>
          <w:highlight w:val="none"/>
          <w:lang w:eastAsia="zh-CN"/>
        </w:rPr>
        <w:t>参照《四川省文物局机关非政府采购管理办法（修订版）》</w:t>
      </w:r>
      <w:bookmarkStart w:id="211" w:name="_GoBack"/>
      <w:bookmarkEnd w:id="211"/>
      <w:r>
        <w:rPr>
          <w:rFonts w:hint="eastAsia" w:ascii="宋体"/>
          <w:sz w:val="24"/>
          <w:highlight w:val="none"/>
        </w:rPr>
        <w:t>（川</w:t>
      </w:r>
      <w:r>
        <w:rPr>
          <w:rFonts w:hint="eastAsia" w:ascii="宋体"/>
          <w:sz w:val="24"/>
          <w:highlight w:val="none"/>
          <w:lang w:eastAsia="zh-CN"/>
        </w:rPr>
        <w:t>文物发</w:t>
      </w:r>
      <w:r>
        <w:rPr>
          <w:rFonts w:hint="eastAsia" w:ascii="宋体"/>
          <w:sz w:val="24"/>
          <w:highlight w:val="none"/>
        </w:rPr>
        <w:t>〔20</w:t>
      </w:r>
      <w:r>
        <w:rPr>
          <w:rFonts w:hint="eastAsia" w:ascii="宋体"/>
          <w:sz w:val="24"/>
          <w:highlight w:val="none"/>
          <w:lang w:val="en-US" w:eastAsia="zh-CN"/>
        </w:rPr>
        <w:t>22</w:t>
      </w:r>
      <w:r>
        <w:rPr>
          <w:rFonts w:hint="eastAsia" w:ascii="宋体"/>
          <w:sz w:val="24"/>
          <w:highlight w:val="none"/>
        </w:rPr>
        <w:t>〕</w:t>
      </w:r>
      <w:r>
        <w:rPr>
          <w:rFonts w:hint="eastAsia" w:ascii="宋体"/>
          <w:sz w:val="24"/>
          <w:highlight w:val="none"/>
          <w:lang w:val="en-US" w:eastAsia="zh-CN"/>
        </w:rPr>
        <w:t>4</w:t>
      </w:r>
      <w:r>
        <w:rPr>
          <w:rFonts w:hint="eastAsia" w:ascii="宋体"/>
          <w:sz w:val="24"/>
          <w:highlight w:val="none"/>
        </w:rPr>
        <w:t>号）</w:t>
      </w:r>
      <w:r>
        <w:rPr>
          <w:rFonts w:hint="eastAsia" w:ascii="宋体"/>
          <w:sz w:val="24"/>
          <w:highlight w:val="none"/>
          <w:lang w:eastAsia="zh-CN"/>
        </w:rPr>
        <w:t>及比选完成采购人与中标人最终签订的合同</w:t>
      </w:r>
      <w:r>
        <w:rPr>
          <w:rFonts w:hint="eastAsia" w:ascii="宋体"/>
          <w:sz w:val="24"/>
          <w:highlight w:val="none"/>
        </w:rPr>
        <w:t>要求进行验收。</w:t>
      </w:r>
    </w:p>
    <w:p>
      <w:pPr>
        <w:pStyle w:val="6"/>
        <w:spacing w:line="400" w:lineRule="exact"/>
        <w:ind w:firstLine="481" w:firstLineChars="200"/>
        <w:rPr>
          <w:rFonts w:hint="eastAsia" w:ascii="宋体"/>
          <w:sz w:val="24"/>
          <w:szCs w:val="24"/>
          <w:highlight w:val="none"/>
        </w:rPr>
      </w:pPr>
      <w:bookmarkStart w:id="98" w:name="_Toc217446077"/>
      <w:bookmarkStart w:id="99" w:name="_Toc308164818"/>
      <w:bookmarkStart w:id="100" w:name="_Toc217446071"/>
      <w:r>
        <w:rPr>
          <w:rFonts w:hint="eastAsia" w:ascii="宋体"/>
          <w:sz w:val="24"/>
          <w:szCs w:val="24"/>
          <w:highlight w:val="none"/>
        </w:rPr>
        <w:t>2</w:t>
      </w:r>
      <w:r>
        <w:rPr>
          <w:rFonts w:hint="eastAsia" w:ascii="宋体"/>
          <w:sz w:val="24"/>
          <w:szCs w:val="24"/>
          <w:highlight w:val="none"/>
          <w:lang w:val="en-US" w:eastAsia="zh-CN"/>
        </w:rPr>
        <w:t>7</w:t>
      </w:r>
      <w:r>
        <w:rPr>
          <w:rFonts w:hint="eastAsia" w:ascii="宋体"/>
          <w:sz w:val="24"/>
          <w:szCs w:val="24"/>
          <w:highlight w:val="none"/>
        </w:rPr>
        <w:t>.资金支付</w:t>
      </w:r>
      <w:bookmarkEnd w:id="98"/>
      <w:bookmarkEnd w:id="99"/>
    </w:p>
    <w:p>
      <w:pPr>
        <w:spacing w:line="400" w:lineRule="exact"/>
        <w:ind w:firstLine="480" w:firstLineChars="200"/>
        <w:rPr>
          <w:rFonts w:hint="eastAsia" w:ascii="宋体"/>
          <w:sz w:val="24"/>
          <w:highlight w:val="none"/>
        </w:rPr>
      </w:pPr>
      <w:r>
        <w:rPr>
          <w:rFonts w:hint="eastAsia" w:ascii="宋体"/>
          <w:sz w:val="24"/>
          <w:highlight w:val="none"/>
        </w:rPr>
        <w:t>比选人将按照采购合同规定，及时向中标供应商支付采购资金。本项目采购资金付款详见第五章商务要求中付款方式。</w:t>
      </w:r>
    </w:p>
    <w:bookmarkEnd w:id="89"/>
    <w:bookmarkEnd w:id="90"/>
    <w:bookmarkEnd w:id="100"/>
    <w:p>
      <w:pPr>
        <w:pStyle w:val="5"/>
        <w:spacing w:line="400" w:lineRule="exact"/>
        <w:jc w:val="center"/>
        <w:rPr>
          <w:szCs w:val="28"/>
          <w:highlight w:val="none"/>
        </w:rPr>
      </w:pPr>
      <w:bookmarkStart w:id="101" w:name="_Toc217446074"/>
      <w:bookmarkStart w:id="102" w:name="_Toc308164815"/>
      <w:bookmarkStart w:id="103" w:name="_Toc183582243"/>
      <w:bookmarkStart w:id="104" w:name="_Toc183682380"/>
      <w:r>
        <w:rPr>
          <w:rFonts w:hint="eastAsia"/>
          <w:szCs w:val="28"/>
          <w:highlight w:val="none"/>
        </w:rPr>
        <w:t>七、比选纪律要求</w:t>
      </w:r>
      <w:bookmarkEnd w:id="101"/>
      <w:bookmarkEnd w:id="102"/>
    </w:p>
    <w:p>
      <w:pPr>
        <w:pStyle w:val="6"/>
        <w:spacing w:line="400" w:lineRule="exact"/>
        <w:ind w:firstLine="481" w:firstLineChars="200"/>
        <w:rPr>
          <w:rFonts w:hint="eastAsia" w:ascii="宋体"/>
          <w:bCs w:val="0"/>
          <w:sz w:val="24"/>
          <w:szCs w:val="24"/>
          <w:highlight w:val="none"/>
        </w:rPr>
      </w:pPr>
      <w:bookmarkStart w:id="105" w:name="_Toc217446075"/>
      <w:bookmarkStart w:id="106" w:name="_Toc308164816"/>
      <w:r>
        <w:rPr>
          <w:rFonts w:hint="eastAsia" w:ascii="宋体"/>
          <w:sz w:val="24"/>
          <w:highlight w:val="none"/>
        </w:rPr>
        <w:t xml:space="preserve">30. </w:t>
      </w:r>
      <w:r>
        <w:rPr>
          <w:rFonts w:hint="eastAsia" w:ascii="宋体"/>
          <w:bCs w:val="0"/>
          <w:sz w:val="24"/>
          <w:szCs w:val="24"/>
          <w:highlight w:val="none"/>
        </w:rPr>
        <w:t>供应商不得具有的情形</w:t>
      </w:r>
      <w:bookmarkEnd w:id="105"/>
      <w:bookmarkEnd w:id="106"/>
    </w:p>
    <w:p>
      <w:pPr>
        <w:pStyle w:val="8"/>
        <w:spacing w:line="400" w:lineRule="exact"/>
        <w:ind w:firstLine="480"/>
        <w:rPr>
          <w:rFonts w:hint="eastAsia" w:ascii="宋体"/>
          <w:sz w:val="24"/>
          <w:highlight w:val="none"/>
        </w:rPr>
      </w:pPr>
      <w:r>
        <w:rPr>
          <w:rFonts w:hint="eastAsia" w:ascii="宋体"/>
          <w:sz w:val="24"/>
          <w:highlight w:val="none"/>
        </w:rPr>
        <w:t>供应商参加本项目比选不得有下列情形：</w:t>
      </w:r>
    </w:p>
    <w:p>
      <w:pPr>
        <w:spacing w:line="400" w:lineRule="exact"/>
        <w:ind w:firstLine="460" w:firstLineChars="192"/>
        <w:rPr>
          <w:rFonts w:hint="eastAsia" w:ascii="宋体"/>
          <w:sz w:val="24"/>
          <w:highlight w:val="none"/>
        </w:rPr>
      </w:pPr>
      <w:r>
        <w:rPr>
          <w:rFonts w:hint="eastAsia" w:ascii="宋体"/>
          <w:sz w:val="24"/>
          <w:highlight w:val="none"/>
        </w:rPr>
        <w:t>（1）提供虚假材料谋取中标；</w:t>
      </w:r>
    </w:p>
    <w:p>
      <w:pPr>
        <w:spacing w:line="400" w:lineRule="exact"/>
        <w:ind w:firstLine="460" w:firstLineChars="192"/>
        <w:rPr>
          <w:rFonts w:hint="eastAsia" w:ascii="宋体"/>
          <w:sz w:val="24"/>
          <w:highlight w:val="none"/>
        </w:rPr>
      </w:pPr>
      <w:r>
        <w:rPr>
          <w:rFonts w:hint="eastAsia" w:ascii="宋体"/>
          <w:sz w:val="24"/>
          <w:highlight w:val="none"/>
        </w:rPr>
        <w:t>（2）采取不正当手段诋毁、排挤其他供应商；</w:t>
      </w:r>
    </w:p>
    <w:p>
      <w:pPr>
        <w:spacing w:line="400" w:lineRule="exact"/>
        <w:ind w:firstLine="480" w:firstLineChars="200"/>
        <w:rPr>
          <w:rFonts w:hint="eastAsia" w:ascii="宋体"/>
          <w:sz w:val="24"/>
          <w:highlight w:val="none"/>
        </w:rPr>
      </w:pPr>
      <w:r>
        <w:rPr>
          <w:rFonts w:hint="eastAsia" w:ascii="宋体"/>
          <w:sz w:val="24"/>
          <w:highlight w:val="none"/>
        </w:rPr>
        <w:t>（3）与比选采购单位、其他供应商恶意串通；</w:t>
      </w:r>
    </w:p>
    <w:p>
      <w:pPr>
        <w:spacing w:line="400" w:lineRule="exact"/>
        <w:ind w:left="489" w:leftChars="233"/>
        <w:rPr>
          <w:rFonts w:hint="eastAsia" w:ascii="宋体"/>
          <w:sz w:val="24"/>
          <w:highlight w:val="none"/>
        </w:rPr>
      </w:pPr>
      <w:r>
        <w:rPr>
          <w:rFonts w:hint="eastAsia" w:ascii="宋体"/>
          <w:sz w:val="24"/>
          <w:highlight w:val="none"/>
        </w:rPr>
        <w:t>（4）向比选采购单位、评标委员会成员行贿或者提供其他不正当利益；</w:t>
      </w:r>
    </w:p>
    <w:p>
      <w:pPr>
        <w:spacing w:line="400" w:lineRule="exact"/>
        <w:ind w:firstLine="460" w:firstLineChars="192"/>
        <w:rPr>
          <w:rFonts w:hint="eastAsia" w:ascii="宋体"/>
          <w:sz w:val="24"/>
          <w:highlight w:val="none"/>
        </w:rPr>
      </w:pPr>
      <w:r>
        <w:rPr>
          <w:rFonts w:hint="eastAsia" w:ascii="宋体"/>
          <w:sz w:val="24"/>
          <w:highlight w:val="none"/>
        </w:rPr>
        <w:t>（5）在比选过程中与比选采购单位进行协商谈判；</w:t>
      </w:r>
    </w:p>
    <w:p>
      <w:pPr>
        <w:spacing w:line="400" w:lineRule="exact"/>
        <w:ind w:firstLine="460" w:firstLineChars="192"/>
        <w:rPr>
          <w:rFonts w:hint="eastAsia" w:ascii="宋体"/>
          <w:sz w:val="24"/>
          <w:highlight w:val="none"/>
        </w:rPr>
      </w:pPr>
      <w:r>
        <w:rPr>
          <w:rFonts w:hint="eastAsia" w:ascii="宋体"/>
          <w:sz w:val="24"/>
          <w:highlight w:val="none"/>
        </w:rPr>
        <w:t>（6）中标或者成交后无正当理由拒不与比选人签订政府采购合同；</w:t>
      </w:r>
    </w:p>
    <w:p>
      <w:pPr>
        <w:spacing w:line="400" w:lineRule="exact"/>
        <w:ind w:firstLine="480" w:firstLineChars="200"/>
        <w:rPr>
          <w:rFonts w:hint="eastAsia" w:ascii="宋体"/>
          <w:sz w:val="24"/>
          <w:highlight w:val="none"/>
        </w:rPr>
      </w:pPr>
      <w:r>
        <w:rPr>
          <w:rFonts w:hint="eastAsia" w:ascii="宋体"/>
          <w:sz w:val="24"/>
          <w:highlight w:val="none"/>
        </w:rPr>
        <w:t>（7）未按照采购文件确定的事项签订政府采购合同；</w:t>
      </w:r>
    </w:p>
    <w:p>
      <w:pPr>
        <w:spacing w:line="400" w:lineRule="exact"/>
        <w:ind w:firstLine="480" w:firstLineChars="200"/>
        <w:rPr>
          <w:rFonts w:hint="eastAsia" w:ascii="宋体"/>
          <w:sz w:val="24"/>
          <w:highlight w:val="none"/>
        </w:rPr>
      </w:pPr>
      <w:r>
        <w:rPr>
          <w:rFonts w:hint="eastAsia" w:ascii="宋体"/>
          <w:sz w:val="24"/>
          <w:highlight w:val="none"/>
        </w:rPr>
        <w:t>（8）将政府采购合同转包或者违规分包；</w:t>
      </w:r>
    </w:p>
    <w:p>
      <w:pPr>
        <w:spacing w:line="400" w:lineRule="exact"/>
        <w:ind w:firstLine="480" w:firstLineChars="200"/>
        <w:rPr>
          <w:rFonts w:hint="eastAsia" w:ascii="宋体"/>
          <w:sz w:val="24"/>
          <w:highlight w:val="none"/>
        </w:rPr>
      </w:pPr>
      <w:r>
        <w:rPr>
          <w:rFonts w:hint="eastAsia" w:ascii="宋体"/>
          <w:sz w:val="24"/>
          <w:highlight w:val="none"/>
        </w:rPr>
        <w:t>（9）提供假冒伪劣产品；</w:t>
      </w:r>
    </w:p>
    <w:p>
      <w:pPr>
        <w:spacing w:line="400" w:lineRule="exact"/>
        <w:ind w:firstLine="480" w:firstLineChars="200"/>
        <w:rPr>
          <w:rFonts w:hint="eastAsia" w:ascii="宋体"/>
          <w:sz w:val="24"/>
          <w:highlight w:val="none"/>
        </w:rPr>
      </w:pPr>
      <w:r>
        <w:rPr>
          <w:rFonts w:hint="eastAsia" w:ascii="宋体"/>
          <w:sz w:val="24"/>
          <w:highlight w:val="none"/>
        </w:rPr>
        <w:t>（10）擅自变更、中止或者终止政府采购合同；</w:t>
      </w:r>
    </w:p>
    <w:p>
      <w:pPr>
        <w:spacing w:line="400" w:lineRule="exact"/>
        <w:ind w:firstLine="460" w:firstLineChars="192"/>
        <w:rPr>
          <w:rFonts w:hint="eastAsia" w:ascii="宋体"/>
          <w:sz w:val="24"/>
          <w:highlight w:val="none"/>
        </w:rPr>
      </w:pPr>
      <w:r>
        <w:rPr>
          <w:rFonts w:hint="eastAsia" w:ascii="宋体"/>
          <w:sz w:val="24"/>
          <w:highlight w:val="none"/>
        </w:rPr>
        <w:t>（11）拒绝有关部门的监督检查或者向监督检查部门提供虚假情况；</w:t>
      </w:r>
    </w:p>
    <w:p>
      <w:pPr>
        <w:spacing w:line="400" w:lineRule="exact"/>
        <w:ind w:firstLine="480" w:firstLineChars="200"/>
        <w:rPr>
          <w:rFonts w:hint="eastAsia" w:ascii="宋体"/>
          <w:sz w:val="24"/>
          <w:highlight w:val="none"/>
        </w:rPr>
      </w:pPr>
      <w:r>
        <w:rPr>
          <w:rFonts w:hint="eastAsia" w:ascii="宋体"/>
          <w:sz w:val="24"/>
          <w:highlight w:val="none"/>
        </w:rPr>
        <w:t>（12）法律法规规定的其他情形。</w:t>
      </w:r>
    </w:p>
    <w:p>
      <w:pPr>
        <w:spacing w:line="400" w:lineRule="exact"/>
        <w:ind w:firstLine="480" w:firstLineChars="200"/>
        <w:rPr>
          <w:rFonts w:hint="eastAsia" w:ascii="宋体"/>
          <w:sz w:val="24"/>
          <w:highlight w:val="none"/>
        </w:rPr>
      </w:pPr>
      <w:r>
        <w:rPr>
          <w:rFonts w:hint="eastAsia" w:ascii="宋体"/>
          <w:sz w:val="24"/>
          <w:highlight w:val="none"/>
        </w:rPr>
        <w:t>供应商有上述情形的，按照规定追究法律责任，具备（1）-（12）条情形之一的，同时将取消中标资格或者认定中标无效。</w:t>
      </w:r>
    </w:p>
    <w:p>
      <w:pPr>
        <w:pStyle w:val="5"/>
        <w:spacing w:line="400" w:lineRule="exact"/>
        <w:jc w:val="center"/>
        <w:rPr>
          <w:rFonts w:hint="eastAsia" w:ascii="黑体"/>
          <w:bCs w:val="0"/>
          <w:szCs w:val="28"/>
          <w:highlight w:val="none"/>
        </w:rPr>
      </w:pPr>
      <w:bookmarkStart w:id="107" w:name="_Toc217446078"/>
      <w:bookmarkStart w:id="108" w:name="_Toc308164819"/>
      <w:r>
        <w:rPr>
          <w:rFonts w:hint="eastAsia" w:ascii="黑体"/>
          <w:bCs w:val="0"/>
          <w:szCs w:val="28"/>
          <w:highlight w:val="none"/>
        </w:rPr>
        <w:t>八、询问、质疑和投诉</w:t>
      </w:r>
      <w:bookmarkEnd w:id="107"/>
      <w:bookmarkEnd w:id="108"/>
      <w:bookmarkStart w:id="109" w:name="_Toc217446079"/>
    </w:p>
    <w:bookmarkEnd w:id="103"/>
    <w:bookmarkEnd w:id="104"/>
    <w:bookmarkEnd w:id="109"/>
    <w:p>
      <w:pPr>
        <w:widowControl/>
        <w:spacing w:line="360" w:lineRule="atLeast"/>
        <w:ind w:firstLine="472" w:firstLineChars="196"/>
        <w:jc w:val="left"/>
        <w:outlineLvl w:val="1"/>
        <w:rPr>
          <w:rFonts w:hint="eastAsia" w:ascii="宋体"/>
          <w:sz w:val="24"/>
          <w:highlight w:val="none"/>
        </w:rPr>
      </w:pPr>
      <w:r>
        <w:rPr>
          <w:rFonts w:hint="eastAsia" w:ascii="宋体"/>
          <w:b/>
          <w:sz w:val="24"/>
          <w:highlight w:val="none"/>
        </w:rPr>
        <w:t>31．</w:t>
      </w:r>
      <w:r>
        <w:rPr>
          <w:rFonts w:hint="eastAsia" w:ascii="宋体"/>
          <w:sz w:val="24"/>
          <w:highlight w:val="none"/>
        </w:rPr>
        <w:t>询问、质疑、投诉的接收和处理严格按照《中华人</w:t>
      </w:r>
      <w:r>
        <w:rPr>
          <w:rFonts w:hint="eastAsia" w:ascii="宋体"/>
          <w:sz w:val="24"/>
          <w:highlight w:val="none"/>
          <w:lang w:eastAsia="zh-CN"/>
        </w:rPr>
        <w:t>民</w:t>
      </w:r>
      <w:r>
        <w:rPr>
          <w:rFonts w:hint="eastAsia" w:ascii="宋体"/>
          <w:sz w:val="24"/>
          <w:highlight w:val="none"/>
        </w:rPr>
        <w:t>共和国政府采购法》、《中华人民共和国政府采购法实施条例》、《政府采购供应商投诉处理办法》、《财政部关于加强政府采购供应商投诉受理审查工作的通知》和《四川省政府采购供应商投诉处理工作规程》的规定办理（详细规定请在四川政府采购网政策法规模块查询）。</w:t>
      </w:r>
    </w:p>
    <w:p>
      <w:pPr>
        <w:pStyle w:val="5"/>
        <w:spacing w:line="400" w:lineRule="exact"/>
        <w:jc w:val="center"/>
        <w:rPr>
          <w:rFonts w:hint="eastAsia" w:ascii="黑体"/>
          <w:bCs w:val="0"/>
          <w:szCs w:val="28"/>
          <w:highlight w:val="none"/>
        </w:rPr>
      </w:pPr>
      <w:r>
        <w:rPr>
          <w:rFonts w:hint="eastAsia" w:ascii="黑体"/>
          <w:bCs w:val="0"/>
          <w:szCs w:val="28"/>
          <w:highlight w:val="none"/>
        </w:rPr>
        <w:t>九、其他</w:t>
      </w:r>
    </w:p>
    <w:p>
      <w:pPr>
        <w:widowControl/>
        <w:spacing w:line="360" w:lineRule="atLeast"/>
        <w:ind w:firstLine="481" w:firstLineChars="200"/>
        <w:jc w:val="left"/>
        <w:outlineLvl w:val="1"/>
        <w:rPr>
          <w:rFonts w:hint="eastAsia" w:ascii="宋体"/>
          <w:sz w:val="24"/>
          <w:highlight w:val="none"/>
        </w:rPr>
      </w:pPr>
      <w:r>
        <w:rPr>
          <w:rFonts w:hint="eastAsia" w:ascii="宋体"/>
          <w:b/>
          <w:sz w:val="24"/>
          <w:highlight w:val="none"/>
        </w:rPr>
        <w:t>32.</w:t>
      </w:r>
      <w:r>
        <w:rPr>
          <w:rFonts w:hint="eastAsia" w:ascii="宋体"/>
          <w:sz w:val="24"/>
          <w:highlight w:val="none"/>
        </w:rPr>
        <w:t>本比选文件中所引相关法律制度规定，在政府采购中有变化的，按照变化后的相关法律制度规定执行。本章和第六章中“1.总则、2.评标方法、3.评标程序”规定的内容条款，在本项目比选截止时间届满后，因相关法律制度规定的变化导致不符合相关法律制度规定的，直接按照变化后的相关法律制度规定执行，本比选文件不再做调整。</w:t>
      </w:r>
    </w:p>
    <w:p>
      <w:pPr>
        <w:widowControl/>
        <w:spacing w:line="360" w:lineRule="atLeast"/>
        <w:jc w:val="left"/>
        <w:outlineLvl w:val="1"/>
        <w:rPr>
          <w:rFonts w:hint="eastAsia" w:ascii="宋体"/>
          <w:b/>
          <w:sz w:val="24"/>
          <w:highlight w:val="none"/>
        </w:rPr>
      </w:pPr>
      <w:bookmarkStart w:id="110" w:name="_Toc217446083"/>
    </w:p>
    <w:p>
      <w:pPr>
        <w:pStyle w:val="4"/>
        <w:jc w:val="center"/>
        <w:rPr>
          <w:rFonts w:hint="eastAsia"/>
          <w:sz w:val="36"/>
          <w:szCs w:val="36"/>
          <w:highlight w:val="none"/>
        </w:rPr>
      </w:pPr>
      <w:bookmarkStart w:id="111" w:name="_Toc1368"/>
    </w:p>
    <w:p>
      <w:pPr>
        <w:rPr>
          <w:rFonts w:hint="eastAsia"/>
          <w:sz w:val="36"/>
          <w:szCs w:val="36"/>
          <w:highlight w:val="none"/>
        </w:rPr>
      </w:pPr>
    </w:p>
    <w:p>
      <w:pPr>
        <w:pStyle w:val="10"/>
        <w:rPr>
          <w:rFonts w:hint="eastAsia"/>
          <w:sz w:val="36"/>
          <w:szCs w:val="36"/>
          <w:highlight w:val="none"/>
        </w:rPr>
      </w:pPr>
    </w:p>
    <w:p>
      <w:pPr>
        <w:rPr>
          <w:rFonts w:hint="eastAsia"/>
          <w:highlight w:val="none"/>
        </w:rPr>
      </w:pPr>
    </w:p>
    <w:p>
      <w:pPr>
        <w:pStyle w:val="2"/>
        <w:rPr>
          <w:rFonts w:hint="eastAsia"/>
          <w:highlight w:val="none"/>
        </w:rPr>
      </w:pPr>
    </w:p>
    <w:p>
      <w:pPr>
        <w:rPr>
          <w:rFonts w:hint="eastAsia"/>
          <w:sz w:val="36"/>
          <w:szCs w:val="36"/>
          <w:highlight w:val="none"/>
        </w:rPr>
      </w:pPr>
    </w:p>
    <w:p>
      <w:pPr>
        <w:pStyle w:val="10"/>
        <w:rPr>
          <w:rFonts w:hint="eastAsia"/>
          <w:highlight w:val="none"/>
        </w:rPr>
      </w:pPr>
    </w:p>
    <w:p>
      <w:pPr>
        <w:rPr>
          <w:rFonts w:hint="eastAsia"/>
          <w:highlight w:val="none"/>
        </w:rPr>
      </w:pPr>
    </w:p>
    <w:p>
      <w:pPr>
        <w:rPr>
          <w:rFonts w:hint="eastAsia"/>
          <w:sz w:val="36"/>
          <w:szCs w:val="36"/>
          <w:highlight w:val="none"/>
        </w:rPr>
      </w:pPr>
      <w:bookmarkStart w:id="112" w:name="_Toc25170"/>
      <w:r>
        <w:rPr>
          <w:rFonts w:hint="eastAsia"/>
          <w:sz w:val="36"/>
          <w:szCs w:val="36"/>
          <w:highlight w:val="none"/>
        </w:rPr>
        <w:br w:type="page"/>
      </w:r>
    </w:p>
    <w:p>
      <w:pPr>
        <w:pStyle w:val="4"/>
        <w:jc w:val="center"/>
        <w:rPr>
          <w:rFonts w:hint="eastAsia" w:ascii="宋体"/>
          <w:b w:val="0"/>
          <w:sz w:val="24"/>
          <w:highlight w:val="none"/>
        </w:rPr>
      </w:pPr>
      <w:r>
        <w:rPr>
          <w:rFonts w:hint="eastAsia"/>
          <w:sz w:val="36"/>
          <w:szCs w:val="36"/>
          <w:highlight w:val="none"/>
        </w:rPr>
        <w:t>第二章  比选</w:t>
      </w:r>
      <w:r>
        <w:rPr>
          <w:rFonts w:hint="eastAsia"/>
          <w:sz w:val="36"/>
          <w:szCs w:val="36"/>
          <w:highlight w:val="none"/>
          <w:lang w:eastAsia="zh-CN"/>
        </w:rPr>
        <w:t>申请</w:t>
      </w:r>
      <w:r>
        <w:rPr>
          <w:rFonts w:hint="eastAsia"/>
          <w:sz w:val="36"/>
          <w:szCs w:val="36"/>
          <w:highlight w:val="none"/>
        </w:rPr>
        <w:t>文件格式</w:t>
      </w:r>
      <w:bookmarkEnd w:id="111"/>
      <w:bookmarkEnd w:id="112"/>
      <w:bookmarkStart w:id="113" w:name="_Toc308164821"/>
      <w:bookmarkStart w:id="114" w:name="_Toc217446082"/>
    </w:p>
    <w:p>
      <w:pPr>
        <w:widowControl/>
        <w:spacing w:line="360" w:lineRule="atLeast"/>
        <w:ind w:firstLine="470" w:firstLineChars="196"/>
        <w:outlineLvl w:val="1"/>
        <w:rPr>
          <w:rFonts w:hint="eastAsia" w:ascii="宋体"/>
          <w:sz w:val="24"/>
          <w:highlight w:val="none"/>
        </w:rPr>
      </w:pPr>
      <w:r>
        <w:rPr>
          <w:rFonts w:hint="eastAsia" w:ascii="宋体"/>
          <w:sz w:val="24"/>
          <w:highlight w:val="none"/>
        </w:rPr>
        <w:t>一、本章所制比选</w:t>
      </w:r>
      <w:r>
        <w:rPr>
          <w:rFonts w:hint="eastAsia" w:ascii="宋体"/>
          <w:sz w:val="24"/>
          <w:highlight w:val="none"/>
          <w:lang w:eastAsia="zh-CN"/>
        </w:rPr>
        <w:t>申请</w:t>
      </w:r>
      <w:r>
        <w:rPr>
          <w:rFonts w:hint="eastAsia" w:ascii="宋体"/>
          <w:sz w:val="24"/>
          <w:highlight w:val="none"/>
        </w:rPr>
        <w:t>文件格式，除格式中明确将该格式作为实质性要求的，一律不具有强制性，但是，供应商比选</w:t>
      </w:r>
      <w:r>
        <w:rPr>
          <w:rFonts w:hint="eastAsia" w:ascii="宋体"/>
          <w:sz w:val="24"/>
          <w:highlight w:val="none"/>
          <w:lang w:eastAsia="zh-CN"/>
        </w:rPr>
        <w:t>申请</w:t>
      </w:r>
      <w:r>
        <w:rPr>
          <w:rFonts w:hint="eastAsia" w:ascii="宋体"/>
          <w:sz w:val="24"/>
          <w:highlight w:val="none"/>
        </w:rPr>
        <w:t>文件相关资料和本章所制格式不一致的，评标委员会将在评分时以比选</w:t>
      </w:r>
      <w:r>
        <w:rPr>
          <w:rFonts w:hint="eastAsia" w:ascii="宋体"/>
          <w:sz w:val="24"/>
          <w:highlight w:val="none"/>
          <w:lang w:eastAsia="zh-CN"/>
        </w:rPr>
        <w:t>申请</w:t>
      </w:r>
      <w:r>
        <w:rPr>
          <w:rFonts w:hint="eastAsia" w:ascii="宋体"/>
          <w:sz w:val="24"/>
          <w:highlight w:val="none"/>
        </w:rPr>
        <w:t>文件不规范予以扣分处理。</w:t>
      </w:r>
    </w:p>
    <w:p>
      <w:pPr>
        <w:widowControl/>
        <w:spacing w:line="360" w:lineRule="atLeast"/>
        <w:ind w:firstLine="470" w:firstLineChars="196"/>
        <w:outlineLvl w:val="1"/>
        <w:rPr>
          <w:rFonts w:hint="eastAsia" w:ascii="宋体"/>
          <w:sz w:val="24"/>
          <w:highlight w:val="none"/>
        </w:rPr>
      </w:pPr>
      <w:r>
        <w:rPr>
          <w:rFonts w:hint="eastAsia" w:ascii="宋体"/>
          <w:sz w:val="24"/>
          <w:highlight w:val="none"/>
        </w:rPr>
        <w:t>二、本章所制比选</w:t>
      </w:r>
      <w:r>
        <w:rPr>
          <w:rFonts w:hint="eastAsia" w:ascii="宋体"/>
          <w:sz w:val="24"/>
          <w:highlight w:val="none"/>
          <w:lang w:eastAsia="zh-CN"/>
        </w:rPr>
        <w:t>申请</w:t>
      </w:r>
      <w:r>
        <w:rPr>
          <w:rFonts w:hint="eastAsia" w:ascii="宋体"/>
          <w:sz w:val="24"/>
          <w:highlight w:val="none"/>
        </w:rPr>
        <w:t>文件格式有关表格中的备注栏，由供应商根据自身比选情况作解释性说明，不作为必填项。</w:t>
      </w:r>
    </w:p>
    <w:p>
      <w:pPr>
        <w:widowControl/>
        <w:spacing w:line="360" w:lineRule="atLeast"/>
        <w:ind w:firstLine="470" w:firstLineChars="196"/>
        <w:outlineLvl w:val="1"/>
        <w:rPr>
          <w:rFonts w:hint="eastAsia" w:ascii="宋体"/>
          <w:sz w:val="24"/>
          <w:highlight w:val="none"/>
        </w:rPr>
      </w:pPr>
      <w:r>
        <w:rPr>
          <w:rFonts w:hint="eastAsia" w:ascii="宋体"/>
          <w:sz w:val="24"/>
          <w:highlight w:val="none"/>
        </w:rPr>
        <w:t>三、本章所制比选</w:t>
      </w:r>
      <w:r>
        <w:rPr>
          <w:rFonts w:hint="eastAsia" w:ascii="宋体"/>
          <w:sz w:val="24"/>
          <w:highlight w:val="none"/>
          <w:lang w:eastAsia="zh-CN"/>
        </w:rPr>
        <w:t>申请</w:t>
      </w:r>
      <w:r>
        <w:rPr>
          <w:rFonts w:hint="eastAsia" w:ascii="宋体"/>
          <w:sz w:val="24"/>
          <w:highlight w:val="none"/>
        </w:rPr>
        <w:t>文件格式中需要填写的相关内容事项，可能会与本采购项目无关，在不改变比选</w:t>
      </w:r>
      <w:r>
        <w:rPr>
          <w:rFonts w:hint="eastAsia" w:ascii="宋体"/>
          <w:sz w:val="24"/>
          <w:highlight w:val="none"/>
          <w:lang w:eastAsia="zh-CN"/>
        </w:rPr>
        <w:t>申请</w:t>
      </w:r>
      <w:r>
        <w:rPr>
          <w:rFonts w:hint="eastAsia" w:ascii="宋体"/>
          <w:sz w:val="24"/>
          <w:highlight w:val="none"/>
        </w:rPr>
        <w:t>文件原义、不影响本项目采购需求的情况下，供应商可以不予填写，但应当注明。</w:t>
      </w:r>
    </w:p>
    <w:p>
      <w:pPr>
        <w:widowControl/>
        <w:spacing w:line="360" w:lineRule="atLeast"/>
        <w:ind w:firstLine="470" w:firstLineChars="196"/>
        <w:outlineLvl w:val="1"/>
        <w:rPr>
          <w:rFonts w:hint="eastAsia" w:ascii="宋体"/>
          <w:sz w:val="24"/>
          <w:highlight w:val="none"/>
        </w:rPr>
      </w:pPr>
    </w:p>
    <w:p>
      <w:pPr>
        <w:widowControl/>
        <w:spacing w:line="360" w:lineRule="atLeast"/>
        <w:ind w:firstLine="470" w:firstLineChars="196"/>
        <w:outlineLvl w:val="1"/>
        <w:rPr>
          <w:rFonts w:hint="eastAsia" w:ascii="宋体"/>
          <w:sz w:val="24"/>
          <w:highlight w:val="none"/>
        </w:rPr>
      </w:pPr>
    </w:p>
    <w:p>
      <w:pPr>
        <w:widowControl/>
        <w:spacing w:line="360" w:lineRule="atLeast"/>
        <w:ind w:firstLine="470" w:firstLineChars="196"/>
        <w:outlineLvl w:val="1"/>
        <w:rPr>
          <w:rFonts w:hint="eastAsia" w:ascii="宋体"/>
          <w:sz w:val="24"/>
          <w:highlight w:val="none"/>
        </w:rPr>
      </w:pPr>
    </w:p>
    <w:p>
      <w:pPr>
        <w:widowControl/>
        <w:spacing w:line="360" w:lineRule="atLeast"/>
        <w:ind w:firstLine="470" w:firstLineChars="196"/>
        <w:outlineLvl w:val="1"/>
        <w:rPr>
          <w:rFonts w:hint="eastAsia" w:ascii="宋体"/>
          <w:sz w:val="24"/>
          <w:highlight w:val="none"/>
        </w:rPr>
      </w:pPr>
    </w:p>
    <w:p>
      <w:pPr>
        <w:widowControl/>
        <w:spacing w:line="360" w:lineRule="atLeast"/>
        <w:ind w:firstLine="470" w:firstLineChars="196"/>
        <w:outlineLvl w:val="1"/>
        <w:rPr>
          <w:rFonts w:hint="eastAsia" w:ascii="宋体"/>
          <w:sz w:val="24"/>
          <w:highlight w:val="none"/>
        </w:rPr>
      </w:pPr>
    </w:p>
    <w:p>
      <w:pPr>
        <w:widowControl/>
        <w:spacing w:line="360" w:lineRule="atLeast"/>
        <w:ind w:firstLine="470" w:firstLineChars="196"/>
        <w:outlineLvl w:val="1"/>
        <w:rPr>
          <w:rFonts w:hint="eastAsia" w:ascii="宋体"/>
          <w:sz w:val="24"/>
          <w:highlight w:val="none"/>
        </w:rPr>
      </w:pPr>
    </w:p>
    <w:p>
      <w:pPr>
        <w:widowControl/>
        <w:spacing w:line="360" w:lineRule="atLeast"/>
        <w:ind w:firstLine="470" w:firstLineChars="196"/>
        <w:outlineLvl w:val="1"/>
        <w:rPr>
          <w:rFonts w:hint="eastAsia" w:ascii="宋体"/>
          <w:sz w:val="24"/>
          <w:highlight w:val="none"/>
        </w:rPr>
      </w:pPr>
    </w:p>
    <w:p>
      <w:pPr>
        <w:widowControl/>
        <w:spacing w:line="360" w:lineRule="atLeast"/>
        <w:ind w:firstLine="470" w:firstLineChars="196"/>
        <w:outlineLvl w:val="1"/>
        <w:rPr>
          <w:rFonts w:hint="eastAsia" w:ascii="宋体"/>
          <w:sz w:val="24"/>
          <w:highlight w:val="none"/>
        </w:rPr>
      </w:pPr>
    </w:p>
    <w:p>
      <w:pPr>
        <w:widowControl/>
        <w:spacing w:line="360" w:lineRule="atLeast"/>
        <w:ind w:firstLine="470" w:firstLineChars="196"/>
        <w:outlineLvl w:val="1"/>
        <w:rPr>
          <w:rFonts w:hint="eastAsia" w:ascii="宋体"/>
          <w:sz w:val="24"/>
          <w:highlight w:val="none"/>
        </w:rPr>
      </w:pPr>
    </w:p>
    <w:p>
      <w:pPr>
        <w:widowControl/>
        <w:spacing w:line="360" w:lineRule="atLeast"/>
        <w:jc w:val="center"/>
        <w:outlineLvl w:val="1"/>
        <w:rPr>
          <w:rFonts w:hint="eastAsia" w:ascii="黑体" w:eastAsia="黑体"/>
          <w:b/>
          <w:sz w:val="32"/>
          <w:szCs w:val="32"/>
          <w:highlight w:val="none"/>
        </w:rPr>
      </w:pPr>
      <w:r>
        <w:rPr>
          <w:rFonts w:hint="eastAsia" w:ascii="黑体" w:eastAsia="黑体"/>
          <w:b/>
          <w:sz w:val="32"/>
          <w:szCs w:val="32"/>
          <w:highlight w:val="none"/>
        </w:rPr>
        <w:br w:type="page"/>
      </w:r>
      <w:r>
        <w:rPr>
          <w:rFonts w:hint="eastAsia" w:ascii="黑体" w:eastAsia="黑体"/>
          <w:b/>
          <w:sz w:val="32"/>
          <w:szCs w:val="32"/>
          <w:highlight w:val="none"/>
        </w:rPr>
        <w:t>一、投 标 函</w:t>
      </w:r>
      <w:bookmarkEnd w:id="113"/>
      <w:bookmarkEnd w:id="114"/>
    </w:p>
    <w:p>
      <w:pPr>
        <w:widowControl/>
        <w:spacing w:line="360" w:lineRule="atLeast"/>
        <w:jc w:val="center"/>
        <w:outlineLvl w:val="1"/>
        <w:rPr>
          <w:rFonts w:hint="eastAsia" w:ascii="宋体"/>
          <w:b/>
          <w:sz w:val="24"/>
          <w:highlight w:val="none"/>
        </w:rPr>
      </w:pPr>
    </w:p>
    <w:p>
      <w:pPr>
        <w:widowControl/>
        <w:spacing w:line="360" w:lineRule="atLeast"/>
        <w:jc w:val="left"/>
        <w:outlineLvl w:val="1"/>
        <w:rPr>
          <w:rFonts w:hint="eastAsia" w:ascii="宋体"/>
          <w:sz w:val="24"/>
          <w:highlight w:val="none"/>
        </w:rPr>
      </w:pPr>
      <w:r>
        <w:rPr>
          <w:rFonts w:hint="eastAsia" w:ascii="宋体"/>
          <w:sz w:val="24"/>
          <w:highlight w:val="none"/>
        </w:rPr>
        <w:t>XXXX（</w:t>
      </w:r>
      <w:r>
        <w:rPr>
          <w:rFonts w:hint="eastAsia" w:ascii="宋体"/>
          <w:sz w:val="24"/>
          <w:highlight w:val="none"/>
          <w:lang w:eastAsia="zh-CN"/>
        </w:rPr>
        <w:t>四川省文物局</w:t>
      </w:r>
      <w:r>
        <w:rPr>
          <w:rFonts w:hint="eastAsia" w:ascii="宋体"/>
          <w:sz w:val="24"/>
          <w:highlight w:val="none"/>
        </w:rPr>
        <w:t>）：</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我方全面研究了“</w:t>
      </w:r>
      <w:r>
        <w:rPr>
          <w:rFonts w:hint="eastAsia" w:ascii="宋体"/>
          <w:sz w:val="24"/>
          <w:highlight w:val="none"/>
          <w:u w:val="single"/>
        </w:rPr>
        <w:t>XXXXXXXX</w:t>
      </w:r>
      <w:r>
        <w:rPr>
          <w:rFonts w:hint="eastAsia" w:ascii="宋体"/>
          <w:sz w:val="24"/>
          <w:highlight w:val="none"/>
        </w:rPr>
        <w:t>”项目比选文件，决定参加贵单位组织的本项目比选。我方授权</w:t>
      </w:r>
      <w:r>
        <w:rPr>
          <w:rFonts w:hint="eastAsia" w:ascii="宋体"/>
          <w:sz w:val="24"/>
          <w:highlight w:val="none"/>
          <w:u w:val="single"/>
        </w:rPr>
        <w:t>XXXX</w:t>
      </w:r>
      <w:r>
        <w:rPr>
          <w:rFonts w:hint="eastAsia" w:ascii="宋体"/>
          <w:sz w:val="24"/>
          <w:highlight w:val="none"/>
        </w:rPr>
        <w:t>（姓名、职务）代表我方</w:t>
      </w:r>
      <w:r>
        <w:rPr>
          <w:rFonts w:hint="eastAsia" w:ascii="宋体"/>
          <w:sz w:val="24"/>
          <w:highlight w:val="none"/>
          <w:u w:val="single"/>
        </w:rPr>
        <w:t>XXXXXXXX</w:t>
      </w:r>
      <w:r>
        <w:rPr>
          <w:rFonts w:hint="eastAsia" w:ascii="宋体"/>
          <w:sz w:val="24"/>
          <w:highlight w:val="none"/>
        </w:rPr>
        <w:t>（比选单位的名称）全权处理本项目比选的有关事宜。</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一、我方自愿按照比选文件规定的各项要求向比选人提供所需服务，总比选价为人民币</w:t>
      </w:r>
      <w:r>
        <w:rPr>
          <w:rFonts w:hint="eastAsia" w:ascii="宋体"/>
          <w:sz w:val="24"/>
          <w:highlight w:val="none"/>
          <w:u w:val="single"/>
        </w:rPr>
        <w:t>XXXX</w:t>
      </w:r>
      <w:r>
        <w:rPr>
          <w:rFonts w:hint="eastAsia" w:ascii="宋体"/>
          <w:sz w:val="24"/>
          <w:highlight w:val="none"/>
        </w:rPr>
        <w:t>万元（大写：</w:t>
      </w:r>
      <w:r>
        <w:rPr>
          <w:rFonts w:hint="eastAsia" w:ascii="宋体"/>
          <w:sz w:val="24"/>
          <w:highlight w:val="none"/>
          <w:u w:val="single"/>
        </w:rPr>
        <w:t>XXXX</w:t>
      </w:r>
      <w:r>
        <w:rPr>
          <w:rFonts w:hint="eastAsia" w:ascii="宋体"/>
          <w:sz w:val="24"/>
          <w:highlight w:val="none"/>
        </w:rPr>
        <w:t>）。</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二、一旦我方中标，我方将严格履行政府采购合同规定的责任和义务。</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三、我方同意本比选文件依据《四川省政府采购当事人诚信管理办法》（川财采【2015】33号文件）对我方可能存在的失信行为进行的惩戒。</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四、我方为本项目提交的比选</w:t>
      </w:r>
      <w:r>
        <w:rPr>
          <w:rFonts w:hint="eastAsia" w:ascii="宋体"/>
          <w:sz w:val="24"/>
          <w:highlight w:val="none"/>
          <w:lang w:eastAsia="zh-CN"/>
        </w:rPr>
        <w:t>申请</w:t>
      </w:r>
      <w:r>
        <w:rPr>
          <w:rFonts w:hint="eastAsia" w:ascii="宋体"/>
          <w:sz w:val="24"/>
          <w:highlight w:val="none"/>
        </w:rPr>
        <w:t>文件正本壹份，副本</w:t>
      </w:r>
      <w:r>
        <w:rPr>
          <w:rFonts w:hint="eastAsia" w:ascii="宋体"/>
          <w:sz w:val="24"/>
          <w:highlight w:val="none"/>
          <w:u w:val="single"/>
        </w:rPr>
        <w:t>XXXX</w:t>
      </w:r>
      <w:r>
        <w:rPr>
          <w:rFonts w:hint="eastAsia" w:ascii="宋体"/>
          <w:sz w:val="24"/>
          <w:highlight w:val="none"/>
        </w:rPr>
        <w:t>份，用于开标唱标的“开标一览表”一式壹份。</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五、我方同意本次比选的比选有效期为</w:t>
      </w:r>
      <w:r>
        <w:rPr>
          <w:rFonts w:hint="eastAsia" w:ascii="宋体"/>
          <w:sz w:val="24"/>
          <w:highlight w:val="none"/>
          <w:u w:val="single"/>
        </w:rPr>
        <w:t>XXXX</w:t>
      </w:r>
      <w:r>
        <w:rPr>
          <w:rFonts w:hint="eastAsia" w:ascii="宋体"/>
          <w:sz w:val="24"/>
          <w:highlight w:val="none"/>
        </w:rPr>
        <w:t>天。</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六、我方愿意提供贵单位可能另外要求的，与比选有关的文件资料，并保证我方已提供和将要提供的文件资料是真实、准确的。</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供应商名称：XXXX（单位公章）。</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法定代表人/单位负责人或授权代表（签字或加盖个人名章）：XXXX。</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通讯地址：XXXX。</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邮政编码：XXXX。</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联系电话：XXXX。</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传    真：XXXX。</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日    期：XXXX年XXXX月XXXX日。</w:t>
      </w:r>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2" w:firstLineChars="196"/>
        <w:jc w:val="left"/>
        <w:outlineLvl w:val="1"/>
        <w:rPr>
          <w:rFonts w:hint="eastAsia" w:ascii="宋体"/>
          <w:b/>
          <w:sz w:val="24"/>
          <w:highlight w:val="none"/>
        </w:rPr>
      </w:pPr>
    </w:p>
    <w:p>
      <w:pPr>
        <w:widowControl/>
        <w:spacing w:line="360" w:lineRule="atLeast"/>
        <w:jc w:val="left"/>
        <w:outlineLvl w:val="1"/>
        <w:rPr>
          <w:rFonts w:hint="eastAsia" w:ascii="宋体"/>
          <w:sz w:val="24"/>
          <w:highlight w:val="none"/>
        </w:rPr>
      </w:pPr>
      <w:bookmarkStart w:id="115" w:name="_Toc308164824"/>
    </w:p>
    <w:p>
      <w:pPr>
        <w:widowControl/>
        <w:spacing w:line="360" w:lineRule="atLeast"/>
        <w:jc w:val="left"/>
        <w:outlineLvl w:val="1"/>
        <w:rPr>
          <w:rFonts w:hint="eastAsia" w:ascii="宋体"/>
          <w:sz w:val="24"/>
          <w:highlight w:val="none"/>
        </w:rPr>
      </w:pPr>
    </w:p>
    <w:p>
      <w:pPr>
        <w:widowControl/>
        <w:spacing w:line="360" w:lineRule="atLeast"/>
        <w:jc w:val="left"/>
        <w:outlineLvl w:val="1"/>
        <w:rPr>
          <w:rFonts w:hint="eastAsia" w:ascii="宋体"/>
          <w:sz w:val="24"/>
          <w:highlight w:val="none"/>
        </w:rPr>
      </w:pPr>
    </w:p>
    <w:p>
      <w:pPr>
        <w:widowControl/>
        <w:spacing w:line="360" w:lineRule="atLeast"/>
        <w:jc w:val="left"/>
        <w:outlineLvl w:val="1"/>
        <w:rPr>
          <w:rFonts w:hint="eastAsia" w:ascii="宋体"/>
          <w:sz w:val="24"/>
          <w:highlight w:val="none"/>
        </w:rPr>
      </w:pPr>
    </w:p>
    <w:p>
      <w:pPr>
        <w:widowControl/>
        <w:spacing w:line="360" w:lineRule="atLeast"/>
        <w:jc w:val="left"/>
        <w:outlineLvl w:val="1"/>
        <w:rPr>
          <w:rFonts w:hint="eastAsia" w:ascii="宋体"/>
          <w:sz w:val="24"/>
          <w:highlight w:val="none"/>
        </w:rPr>
      </w:pPr>
    </w:p>
    <w:p>
      <w:pPr>
        <w:widowControl/>
        <w:spacing w:line="360" w:lineRule="atLeast"/>
        <w:jc w:val="left"/>
        <w:outlineLvl w:val="1"/>
        <w:rPr>
          <w:rFonts w:hint="eastAsia" w:ascii="宋体"/>
          <w:sz w:val="24"/>
          <w:highlight w:val="none"/>
        </w:rPr>
      </w:pPr>
    </w:p>
    <w:p>
      <w:pPr>
        <w:widowControl/>
        <w:spacing w:line="360" w:lineRule="atLeast"/>
        <w:jc w:val="left"/>
        <w:outlineLvl w:val="1"/>
        <w:rPr>
          <w:rFonts w:hint="eastAsia" w:ascii="宋体"/>
          <w:sz w:val="24"/>
          <w:highlight w:val="none"/>
        </w:rPr>
      </w:pPr>
    </w:p>
    <w:p>
      <w:pPr>
        <w:widowControl/>
        <w:spacing w:line="360" w:lineRule="atLeast"/>
        <w:jc w:val="left"/>
        <w:outlineLvl w:val="1"/>
        <w:rPr>
          <w:rFonts w:hint="eastAsia" w:ascii="宋体"/>
          <w:sz w:val="24"/>
          <w:highlight w:val="none"/>
        </w:rPr>
      </w:pPr>
    </w:p>
    <w:p>
      <w:pPr>
        <w:widowControl/>
        <w:spacing w:line="360" w:lineRule="atLeast"/>
        <w:jc w:val="left"/>
        <w:outlineLvl w:val="1"/>
        <w:rPr>
          <w:rFonts w:hint="eastAsia" w:ascii="宋体"/>
          <w:sz w:val="24"/>
          <w:highlight w:val="none"/>
        </w:rPr>
      </w:pPr>
    </w:p>
    <w:p>
      <w:pPr>
        <w:widowControl/>
        <w:spacing w:line="360" w:lineRule="atLeast"/>
        <w:jc w:val="left"/>
        <w:outlineLvl w:val="1"/>
        <w:rPr>
          <w:rFonts w:hint="eastAsia" w:ascii="宋体"/>
          <w:sz w:val="24"/>
          <w:highlight w:val="none"/>
        </w:rPr>
      </w:pPr>
    </w:p>
    <w:p>
      <w:pPr>
        <w:widowControl/>
        <w:spacing w:line="360" w:lineRule="atLeast"/>
        <w:jc w:val="left"/>
        <w:outlineLvl w:val="1"/>
        <w:rPr>
          <w:rFonts w:hint="eastAsia" w:ascii="宋体"/>
          <w:sz w:val="24"/>
          <w:highlight w:val="none"/>
        </w:rPr>
      </w:pPr>
    </w:p>
    <w:p>
      <w:pPr>
        <w:widowControl/>
        <w:spacing w:line="360" w:lineRule="atLeast"/>
        <w:jc w:val="center"/>
        <w:outlineLvl w:val="1"/>
        <w:rPr>
          <w:rFonts w:hint="eastAsia" w:ascii="黑体" w:eastAsia="黑体"/>
          <w:b/>
          <w:sz w:val="32"/>
          <w:szCs w:val="32"/>
          <w:highlight w:val="none"/>
        </w:rPr>
      </w:pPr>
      <w:r>
        <w:rPr>
          <w:rFonts w:hint="eastAsia" w:ascii="黑体" w:eastAsia="黑体"/>
          <w:b/>
          <w:sz w:val="32"/>
          <w:szCs w:val="32"/>
          <w:highlight w:val="none"/>
        </w:rPr>
        <w:t>二、</w:t>
      </w:r>
      <w:bookmarkEnd w:id="115"/>
      <w:r>
        <w:rPr>
          <w:rFonts w:hint="eastAsia" w:ascii="黑体" w:eastAsia="黑体"/>
          <w:b/>
          <w:sz w:val="32"/>
          <w:szCs w:val="32"/>
          <w:highlight w:val="none"/>
        </w:rPr>
        <w:t>承诺函</w:t>
      </w:r>
    </w:p>
    <w:p>
      <w:pPr>
        <w:widowControl/>
        <w:spacing w:line="360" w:lineRule="atLeast"/>
        <w:jc w:val="center"/>
        <w:outlineLvl w:val="1"/>
        <w:rPr>
          <w:rFonts w:hint="eastAsia" w:ascii="宋体"/>
          <w:b/>
          <w:sz w:val="24"/>
          <w:highlight w:val="none"/>
        </w:rPr>
      </w:pPr>
    </w:p>
    <w:p>
      <w:pPr>
        <w:widowControl/>
        <w:spacing w:line="360" w:lineRule="atLeast"/>
        <w:jc w:val="left"/>
        <w:outlineLvl w:val="1"/>
        <w:rPr>
          <w:rFonts w:hint="eastAsia" w:ascii="宋体"/>
          <w:sz w:val="24"/>
          <w:highlight w:val="none"/>
        </w:rPr>
      </w:pPr>
      <w:r>
        <w:rPr>
          <w:rFonts w:hint="eastAsia" w:ascii="宋体"/>
          <w:sz w:val="24"/>
          <w:highlight w:val="none"/>
        </w:rPr>
        <w:t>XXXX（</w:t>
      </w:r>
      <w:r>
        <w:rPr>
          <w:rFonts w:hint="eastAsia" w:ascii="宋体"/>
          <w:sz w:val="24"/>
          <w:highlight w:val="none"/>
          <w:lang w:eastAsia="zh-CN"/>
        </w:rPr>
        <w:t>四川省文物局</w:t>
      </w:r>
      <w:r>
        <w:rPr>
          <w:rFonts w:hint="eastAsia" w:ascii="宋体"/>
          <w:sz w:val="24"/>
          <w:highlight w:val="none"/>
        </w:rPr>
        <w:t>）：</w:t>
      </w:r>
    </w:p>
    <w:p>
      <w:pPr>
        <w:widowControl/>
        <w:spacing w:line="360" w:lineRule="atLeast"/>
        <w:ind w:firstLine="480" w:firstLineChars="200"/>
        <w:jc w:val="left"/>
        <w:outlineLvl w:val="1"/>
        <w:rPr>
          <w:rFonts w:hint="eastAsia" w:ascii="宋体"/>
          <w:sz w:val="24"/>
          <w:highlight w:val="none"/>
        </w:rPr>
      </w:pPr>
      <w:r>
        <w:rPr>
          <w:rFonts w:hint="eastAsia" w:ascii="宋体"/>
          <w:sz w:val="24"/>
          <w:highlight w:val="none"/>
        </w:rPr>
        <w:t>我单位作为本次采购项目的供应商，根据比选文件要求，现郑重承诺如下：</w:t>
      </w:r>
    </w:p>
    <w:p>
      <w:pPr>
        <w:widowControl/>
        <w:spacing w:line="360" w:lineRule="atLeast"/>
        <w:ind w:firstLine="480" w:firstLineChars="200"/>
        <w:jc w:val="left"/>
        <w:outlineLvl w:val="1"/>
        <w:rPr>
          <w:rFonts w:hint="eastAsia" w:ascii="宋体"/>
          <w:sz w:val="24"/>
          <w:highlight w:val="none"/>
        </w:rPr>
      </w:pPr>
      <w:r>
        <w:rPr>
          <w:rFonts w:hint="eastAsia" w:ascii="宋体"/>
          <w:sz w:val="24"/>
          <w:highlight w:val="none"/>
        </w:rPr>
        <w:t>一、具备《中华人民共和国政府采购法》第二十二条第一款和本项目规定的条件：</w:t>
      </w:r>
    </w:p>
    <w:p>
      <w:pPr>
        <w:widowControl/>
        <w:spacing w:line="360" w:lineRule="atLeast"/>
        <w:ind w:firstLine="480" w:firstLineChars="200"/>
        <w:jc w:val="left"/>
        <w:outlineLvl w:val="1"/>
        <w:rPr>
          <w:rFonts w:hint="eastAsia" w:ascii="宋体"/>
          <w:sz w:val="24"/>
          <w:highlight w:val="none"/>
        </w:rPr>
      </w:pPr>
      <w:r>
        <w:rPr>
          <w:rFonts w:hint="eastAsia" w:ascii="宋体"/>
          <w:sz w:val="24"/>
          <w:highlight w:val="none"/>
        </w:rPr>
        <w:t xml:space="preserve">（一）具有独立承担民事责任的能力； </w:t>
      </w:r>
      <w:r>
        <w:rPr>
          <w:rFonts w:hint="eastAsia" w:ascii="宋体"/>
          <w:sz w:val="24"/>
          <w:highlight w:val="none"/>
        </w:rPr>
        <w:br w:type="textWrapping"/>
      </w:r>
      <w:r>
        <w:rPr>
          <w:rFonts w:hint="eastAsia" w:ascii="宋体"/>
          <w:sz w:val="24"/>
          <w:highlight w:val="none"/>
        </w:rPr>
        <w:t xml:space="preserve">　　（二）具有良好的商业信誉和健全的财务会计制度； </w:t>
      </w:r>
      <w:r>
        <w:rPr>
          <w:rFonts w:hint="eastAsia" w:ascii="宋体"/>
          <w:sz w:val="24"/>
          <w:highlight w:val="none"/>
        </w:rPr>
        <w:br w:type="textWrapping"/>
      </w:r>
      <w:r>
        <w:rPr>
          <w:rFonts w:hint="eastAsia" w:ascii="宋体"/>
          <w:sz w:val="24"/>
          <w:highlight w:val="none"/>
        </w:rPr>
        <w:t xml:space="preserve">　　（三）具有履行合同所必需的设备和专业技术能力； </w:t>
      </w:r>
      <w:r>
        <w:rPr>
          <w:rFonts w:hint="eastAsia" w:ascii="宋体"/>
          <w:sz w:val="24"/>
          <w:highlight w:val="none"/>
        </w:rPr>
        <w:br w:type="textWrapping"/>
      </w:r>
      <w:r>
        <w:rPr>
          <w:rFonts w:hint="eastAsia" w:ascii="宋体"/>
          <w:sz w:val="24"/>
          <w:highlight w:val="none"/>
        </w:rPr>
        <w:t xml:space="preserve">　　（四）有依法缴纳税收和社会保障资金的良好记录； </w:t>
      </w:r>
      <w:r>
        <w:rPr>
          <w:rFonts w:hint="eastAsia" w:ascii="宋体"/>
          <w:sz w:val="24"/>
          <w:highlight w:val="none"/>
        </w:rPr>
        <w:br w:type="textWrapping"/>
      </w:r>
      <w:r>
        <w:rPr>
          <w:rFonts w:hint="eastAsia" w:ascii="宋体"/>
          <w:sz w:val="24"/>
          <w:highlight w:val="none"/>
        </w:rPr>
        <w:t>　　（五）参加政府采购活动前三年内，在经营活动中没有重大违法记录；</w:t>
      </w:r>
    </w:p>
    <w:p>
      <w:pPr>
        <w:widowControl/>
        <w:spacing w:line="360" w:lineRule="atLeast"/>
        <w:ind w:firstLine="480" w:firstLineChars="200"/>
        <w:jc w:val="left"/>
        <w:outlineLvl w:val="1"/>
        <w:rPr>
          <w:rFonts w:hint="eastAsia" w:ascii="宋体"/>
          <w:sz w:val="24"/>
          <w:highlight w:val="none"/>
        </w:rPr>
      </w:pPr>
      <w:r>
        <w:rPr>
          <w:rFonts w:hint="eastAsia" w:ascii="宋体"/>
          <w:sz w:val="24"/>
          <w:highlight w:val="none"/>
        </w:rPr>
        <w:t>（六）法律、行政法规规定的其他条件；</w:t>
      </w:r>
    </w:p>
    <w:p>
      <w:pPr>
        <w:widowControl/>
        <w:spacing w:line="360" w:lineRule="atLeast"/>
        <w:ind w:firstLine="480" w:firstLineChars="200"/>
        <w:jc w:val="left"/>
        <w:outlineLvl w:val="1"/>
        <w:rPr>
          <w:sz w:val="24"/>
          <w:highlight w:val="none"/>
        </w:rPr>
      </w:pPr>
      <w:r>
        <w:rPr>
          <w:rFonts w:hint="eastAsia" w:ascii="宋体"/>
          <w:sz w:val="24"/>
          <w:highlight w:val="none"/>
        </w:rPr>
        <w:t>（七）</w:t>
      </w:r>
      <w:r>
        <w:rPr>
          <w:rFonts w:hint="eastAsia"/>
          <w:sz w:val="24"/>
          <w:highlight w:val="none"/>
        </w:rPr>
        <w:t>根据采购项目提出的特殊条件</w:t>
      </w:r>
      <w:r>
        <w:rPr>
          <w:sz w:val="24"/>
          <w:highlight w:val="none"/>
        </w:rPr>
        <w:t>。</w:t>
      </w:r>
    </w:p>
    <w:p>
      <w:pPr>
        <w:widowControl/>
        <w:spacing w:line="360" w:lineRule="atLeast"/>
        <w:ind w:firstLine="480" w:firstLineChars="200"/>
        <w:jc w:val="left"/>
        <w:outlineLvl w:val="1"/>
        <w:rPr>
          <w:rFonts w:hint="eastAsia" w:ascii="宋体"/>
          <w:sz w:val="24"/>
          <w:highlight w:val="none"/>
        </w:rPr>
      </w:pPr>
      <w:r>
        <w:rPr>
          <w:sz w:val="24"/>
          <w:highlight w:val="none"/>
        </w:rPr>
        <w:t>二、完全接受和满足本项目</w:t>
      </w:r>
      <w:r>
        <w:rPr>
          <w:rFonts w:hint="eastAsia"/>
          <w:sz w:val="24"/>
          <w:highlight w:val="none"/>
        </w:rPr>
        <w:t>比选</w:t>
      </w:r>
      <w:r>
        <w:rPr>
          <w:sz w:val="24"/>
          <w:highlight w:val="none"/>
        </w:rPr>
        <w:t>文件中规定的实质性要求，如对</w:t>
      </w:r>
      <w:r>
        <w:rPr>
          <w:rFonts w:hint="eastAsia"/>
          <w:sz w:val="24"/>
          <w:highlight w:val="none"/>
        </w:rPr>
        <w:t>比选</w:t>
      </w:r>
      <w:r>
        <w:rPr>
          <w:sz w:val="24"/>
          <w:highlight w:val="none"/>
        </w:rPr>
        <w:t>文件有异议，</w:t>
      </w:r>
      <w:r>
        <w:rPr>
          <w:rFonts w:hint="eastAsia"/>
          <w:sz w:val="24"/>
          <w:highlight w:val="none"/>
        </w:rPr>
        <w:t>已</w:t>
      </w:r>
      <w:r>
        <w:rPr>
          <w:sz w:val="24"/>
          <w:highlight w:val="none"/>
        </w:rPr>
        <w:t>依法进行维权救济，不存在对</w:t>
      </w:r>
      <w:r>
        <w:rPr>
          <w:rFonts w:hint="eastAsia"/>
          <w:sz w:val="24"/>
          <w:highlight w:val="none"/>
        </w:rPr>
        <w:t>比选</w:t>
      </w:r>
      <w:r>
        <w:rPr>
          <w:sz w:val="24"/>
          <w:highlight w:val="none"/>
        </w:rPr>
        <w:t>文件有异议的同时又参加</w:t>
      </w:r>
      <w:r>
        <w:rPr>
          <w:rFonts w:hint="eastAsia"/>
          <w:sz w:val="24"/>
          <w:highlight w:val="none"/>
        </w:rPr>
        <w:t>比选</w:t>
      </w:r>
      <w:r>
        <w:rPr>
          <w:sz w:val="24"/>
          <w:highlight w:val="none"/>
        </w:rPr>
        <w:t>以求侥幸中标或者为实现其他非法目的的行为。</w:t>
      </w:r>
    </w:p>
    <w:p>
      <w:pPr>
        <w:widowControl/>
        <w:spacing w:line="360" w:lineRule="atLeast"/>
        <w:ind w:firstLine="480" w:firstLineChars="200"/>
        <w:jc w:val="left"/>
        <w:outlineLvl w:val="1"/>
        <w:rPr>
          <w:rFonts w:hint="eastAsia" w:ascii="宋体"/>
          <w:sz w:val="24"/>
          <w:highlight w:val="none"/>
        </w:rPr>
      </w:pPr>
      <w:r>
        <w:rPr>
          <w:rFonts w:hint="eastAsia" w:ascii="宋体"/>
          <w:sz w:val="24"/>
          <w:highlight w:val="none"/>
        </w:rPr>
        <w:t>三、参加本次比选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pPr>
        <w:widowControl/>
        <w:spacing w:line="360" w:lineRule="atLeast"/>
        <w:ind w:firstLine="480" w:firstLineChars="200"/>
        <w:jc w:val="left"/>
        <w:outlineLvl w:val="1"/>
        <w:rPr>
          <w:rFonts w:hint="eastAsia" w:ascii="宋体"/>
          <w:sz w:val="24"/>
          <w:highlight w:val="none"/>
        </w:rPr>
      </w:pPr>
      <w:r>
        <w:rPr>
          <w:rFonts w:hint="eastAsia" w:ascii="宋体"/>
          <w:sz w:val="24"/>
          <w:highlight w:val="none"/>
        </w:rPr>
        <w:t>四、参加本次比选采购活动，不存在和其他供应商在同一合同项下的采购项目中，同时委托同一个自然人、同一家庭的人员、同一单位的人员作为代理人的行为。</w:t>
      </w:r>
    </w:p>
    <w:p>
      <w:pPr>
        <w:widowControl/>
        <w:spacing w:line="360" w:lineRule="atLeast"/>
        <w:ind w:firstLine="480" w:firstLineChars="200"/>
        <w:jc w:val="left"/>
        <w:outlineLvl w:val="1"/>
        <w:rPr>
          <w:rFonts w:hint="eastAsia" w:ascii="宋体"/>
          <w:sz w:val="24"/>
          <w:highlight w:val="none"/>
        </w:rPr>
      </w:pPr>
      <w:r>
        <w:rPr>
          <w:rFonts w:hint="eastAsia" w:ascii="宋体"/>
          <w:sz w:val="24"/>
          <w:highlight w:val="none"/>
        </w:rPr>
        <w:t>五、如果有《四川省政府采购当事人诚信管理办法》（川财采[2015]33号）规定的记入诚信档案的失信行为，将在比选</w:t>
      </w:r>
      <w:r>
        <w:rPr>
          <w:rFonts w:hint="eastAsia" w:ascii="宋体"/>
          <w:sz w:val="24"/>
          <w:highlight w:val="none"/>
          <w:lang w:eastAsia="zh-CN"/>
        </w:rPr>
        <w:t>申请</w:t>
      </w:r>
      <w:r>
        <w:rPr>
          <w:rFonts w:hint="eastAsia" w:ascii="宋体"/>
          <w:sz w:val="24"/>
          <w:highlight w:val="none"/>
        </w:rPr>
        <w:t>文件中全面如实反映。</w:t>
      </w:r>
    </w:p>
    <w:p>
      <w:pPr>
        <w:widowControl/>
        <w:spacing w:line="360" w:lineRule="atLeast"/>
        <w:ind w:firstLine="480" w:firstLineChars="200"/>
        <w:jc w:val="left"/>
        <w:outlineLvl w:val="1"/>
        <w:rPr>
          <w:rFonts w:hint="eastAsia" w:ascii="宋体"/>
          <w:sz w:val="24"/>
          <w:highlight w:val="none"/>
        </w:rPr>
      </w:pPr>
      <w:r>
        <w:rPr>
          <w:rFonts w:hint="eastAsia" w:ascii="宋体"/>
          <w:sz w:val="24"/>
          <w:highlight w:val="none"/>
        </w:rPr>
        <w:t>六、比选</w:t>
      </w:r>
      <w:r>
        <w:rPr>
          <w:rFonts w:hint="eastAsia" w:ascii="宋体"/>
          <w:sz w:val="24"/>
          <w:highlight w:val="none"/>
          <w:lang w:eastAsia="zh-CN"/>
        </w:rPr>
        <w:t>申请</w:t>
      </w:r>
      <w:r>
        <w:rPr>
          <w:rFonts w:hint="eastAsia" w:ascii="宋体"/>
          <w:sz w:val="24"/>
          <w:highlight w:val="none"/>
        </w:rPr>
        <w:t>文件中提供的能够给予我单位带来优惠、好处的任何材料资料和技术、服务、商务、响应产品等响应承诺情况都是真实的、有效的、合法的。</w:t>
      </w:r>
    </w:p>
    <w:p>
      <w:pPr>
        <w:widowControl/>
        <w:spacing w:line="360" w:lineRule="atLeast"/>
        <w:ind w:firstLine="480" w:firstLineChars="200"/>
        <w:jc w:val="left"/>
        <w:outlineLvl w:val="1"/>
        <w:rPr>
          <w:rFonts w:hint="eastAsia" w:ascii="宋体"/>
          <w:sz w:val="24"/>
          <w:highlight w:val="none"/>
        </w:rPr>
      </w:pPr>
      <w:r>
        <w:rPr>
          <w:rFonts w:hint="eastAsia" w:ascii="宋体"/>
          <w:sz w:val="24"/>
          <w:highlight w:val="none"/>
        </w:rPr>
        <w:t>七、如本项目评标过程中需要提供样品，则我单位提供的样品即为中标后将要提供的中标产品，我单位对提供样品的性能和质量负责，因样品存在缺陷或者不符合比选文件要求导致未能中标的，我单位愿意承担相应不利后果。</w:t>
      </w:r>
    </w:p>
    <w:p>
      <w:pPr>
        <w:widowControl/>
        <w:spacing w:line="360" w:lineRule="atLeast"/>
        <w:ind w:firstLine="480" w:firstLineChars="200"/>
        <w:jc w:val="left"/>
        <w:outlineLvl w:val="1"/>
        <w:rPr>
          <w:rFonts w:hint="eastAsia" w:ascii="宋体"/>
          <w:sz w:val="24"/>
          <w:highlight w:val="none"/>
        </w:rPr>
      </w:pPr>
      <w:r>
        <w:rPr>
          <w:rFonts w:hint="eastAsia" w:ascii="宋体"/>
          <w:sz w:val="24"/>
          <w:highlight w:val="none"/>
        </w:rPr>
        <w:t>本单位对上述承诺的内容事项真实性负责。如经查实上述承诺的内容事项存在虚假，我单位愿意接受以提供虚假材料谋取中标追究法律责任。</w:t>
      </w:r>
    </w:p>
    <w:p>
      <w:pPr>
        <w:widowControl/>
        <w:spacing w:line="360" w:lineRule="atLeast"/>
        <w:jc w:val="left"/>
        <w:outlineLvl w:val="1"/>
        <w:rPr>
          <w:rFonts w:hint="eastAsia" w:ascii="宋体"/>
          <w:sz w:val="24"/>
          <w:highlight w:val="none"/>
        </w:rPr>
      </w:pPr>
      <w:r>
        <w:rPr>
          <w:rFonts w:hint="eastAsia" w:ascii="宋体"/>
          <w:sz w:val="24"/>
          <w:highlight w:val="none"/>
        </w:rPr>
        <w:t xml:space="preserve">       </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供应商名称：XXXX（单位公章）。</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法定代表人/单位负责人或授权代表（签字或加盖个人名章）：XXXX。</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日    期：XXXX。</w:t>
      </w:r>
    </w:p>
    <w:p>
      <w:pPr>
        <w:widowControl/>
        <w:spacing w:line="360" w:lineRule="atLeast"/>
        <w:jc w:val="left"/>
        <w:outlineLvl w:val="1"/>
        <w:rPr>
          <w:rFonts w:hint="eastAsia" w:ascii="宋体"/>
          <w:sz w:val="24"/>
          <w:highlight w:val="none"/>
        </w:rPr>
      </w:pPr>
    </w:p>
    <w:p>
      <w:pPr>
        <w:widowControl/>
        <w:spacing w:line="360" w:lineRule="atLeast"/>
        <w:jc w:val="left"/>
        <w:outlineLvl w:val="1"/>
        <w:rPr>
          <w:rFonts w:hint="eastAsia" w:ascii="宋体"/>
          <w:sz w:val="24"/>
          <w:highlight w:val="none"/>
        </w:rPr>
      </w:pPr>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2" w:firstLineChars="196"/>
        <w:jc w:val="left"/>
        <w:outlineLvl w:val="1"/>
        <w:rPr>
          <w:rFonts w:hint="eastAsia" w:ascii="宋体"/>
          <w:b/>
          <w:sz w:val="24"/>
          <w:highlight w:val="none"/>
        </w:rPr>
      </w:pPr>
    </w:p>
    <w:p>
      <w:pPr>
        <w:widowControl/>
        <w:spacing w:line="360" w:lineRule="atLeast"/>
        <w:jc w:val="center"/>
        <w:outlineLvl w:val="1"/>
        <w:rPr>
          <w:rFonts w:hint="eastAsia" w:ascii="宋体"/>
          <w:b/>
          <w:sz w:val="24"/>
          <w:highlight w:val="none"/>
        </w:rPr>
      </w:pPr>
      <w:r>
        <w:rPr>
          <w:rFonts w:hint="eastAsia" w:ascii="宋体"/>
          <w:b/>
          <w:sz w:val="24"/>
          <w:highlight w:val="none"/>
        </w:rPr>
        <w:br w:type="page"/>
      </w:r>
    </w:p>
    <w:p>
      <w:pPr>
        <w:widowControl/>
        <w:spacing w:line="360" w:lineRule="atLeast"/>
        <w:jc w:val="center"/>
        <w:outlineLvl w:val="1"/>
        <w:rPr>
          <w:rFonts w:hint="eastAsia" w:ascii="黑体" w:eastAsia="黑体"/>
          <w:b/>
          <w:sz w:val="32"/>
          <w:szCs w:val="32"/>
          <w:highlight w:val="none"/>
        </w:rPr>
      </w:pPr>
      <w:r>
        <w:rPr>
          <w:rFonts w:hint="eastAsia" w:ascii="黑体" w:eastAsia="黑体"/>
          <w:b/>
          <w:sz w:val="32"/>
          <w:szCs w:val="32"/>
          <w:highlight w:val="none"/>
        </w:rPr>
        <w:t>三、法定代表人/单位负责人授权书</w:t>
      </w:r>
      <w:bookmarkEnd w:id="110"/>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2" w:firstLineChars="196"/>
        <w:jc w:val="left"/>
        <w:outlineLvl w:val="1"/>
        <w:rPr>
          <w:rFonts w:hint="eastAsia" w:ascii="宋体"/>
          <w:b/>
          <w:sz w:val="24"/>
          <w:highlight w:val="none"/>
        </w:rPr>
      </w:pPr>
    </w:p>
    <w:p>
      <w:pPr>
        <w:widowControl/>
        <w:spacing w:line="360" w:lineRule="atLeast"/>
        <w:jc w:val="left"/>
        <w:outlineLvl w:val="1"/>
        <w:rPr>
          <w:rFonts w:hint="eastAsia" w:ascii="宋体"/>
          <w:sz w:val="24"/>
          <w:highlight w:val="none"/>
        </w:rPr>
      </w:pPr>
      <w:r>
        <w:rPr>
          <w:rFonts w:hint="eastAsia" w:ascii="宋体"/>
          <w:sz w:val="24"/>
          <w:highlight w:val="none"/>
        </w:rPr>
        <w:t>XXXXXXXX（</w:t>
      </w:r>
      <w:r>
        <w:rPr>
          <w:rFonts w:hint="eastAsia" w:ascii="宋体"/>
          <w:sz w:val="24"/>
          <w:highlight w:val="none"/>
          <w:lang w:eastAsia="zh-CN"/>
        </w:rPr>
        <w:t>四川省文物局</w:t>
      </w:r>
      <w:r>
        <w:rPr>
          <w:rFonts w:hint="eastAsia" w:ascii="宋体"/>
          <w:sz w:val="24"/>
          <w:highlight w:val="none"/>
        </w:rPr>
        <w:t>）：</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本授权声明：XXXX XXXX（供应商名称）XXXX（法定代表人/单位负责人姓名、职务）授权XXXX（被授权人姓名、职务）为我方 “XXXXXXXX” 项目比选活动的合法代表，以我方名义全权处理该项目有关比选、签订合同以及执行合同等一切事宜。</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特此声明。</w:t>
      </w:r>
    </w:p>
    <w:p>
      <w:pPr>
        <w:widowControl/>
        <w:spacing w:line="360" w:lineRule="atLeast"/>
        <w:ind w:firstLine="470" w:firstLineChars="196"/>
        <w:jc w:val="left"/>
        <w:outlineLvl w:val="1"/>
        <w:rPr>
          <w:rFonts w:hint="eastAsia" w:ascii="宋体"/>
          <w:sz w:val="24"/>
          <w:highlight w:val="none"/>
        </w:rPr>
      </w:pPr>
    </w:p>
    <w:p>
      <w:pPr>
        <w:widowControl/>
        <w:spacing w:line="360" w:lineRule="atLeast"/>
        <w:ind w:firstLine="470" w:firstLineChars="196"/>
        <w:jc w:val="left"/>
        <w:outlineLvl w:val="1"/>
        <w:rPr>
          <w:rFonts w:hint="eastAsia" w:ascii="宋体"/>
          <w:sz w:val="24"/>
          <w:highlight w:val="none"/>
        </w:rPr>
      </w:pP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法定代表人/单位负责人签字或者加盖个人名章：XXXX。</w:t>
      </w:r>
    </w:p>
    <w:p>
      <w:pPr>
        <w:widowControl/>
        <w:spacing w:line="360" w:lineRule="atLeast"/>
        <w:ind w:firstLine="470" w:firstLineChars="196"/>
        <w:jc w:val="left"/>
        <w:outlineLvl w:val="1"/>
        <w:rPr>
          <w:rFonts w:hint="eastAsia" w:ascii="宋体"/>
          <w:sz w:val="24"/>
          <w:highlight w:val="none"/>
        </w:rPr>
      </w:pPr>
    </w:p>
    <w:p>
      <w:pPr>
        <w:widowControl/>
        <w:spacing w:line="360" w:lineRule="atLeast"/>
        <w:ind w:firstLine="470" w:firstLineChars="196"/>
        <w:jc w:val="left"/>
        <w:outlineLvl w:val="1"/>
        <w:rPr>
          <w:rFonts w:hint="eastAsia" w:ascii="宋体"/>
          <w:sz w:val="24"/>
          <w:highlight w:val="none"/>
        </w:rPr>
      </w:pP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被授权人签字或者加盖个人名章：XXXX</w:t>
      </w:r>
    </w:p>
    <w:p>
      <w:pPr>
        <w:widowControl/>
        <w:spacing w:line="360" w:lineRule="atLeast"/>
        <w:ind w:firstLine="470" w:firstLineChars="196"/>
        <w:jc w:val="left"/>
        <w:outlineLvl w:val="1"/>
        <w:rPr>
          <w:rFonts w:hint="eastAsia" w:ascii="宋体"/>
          <w:sz w:val="24"/>
          <w:highlight w:val="none"/>
        </w:rPr>
      </w:pPr>
    </w:p>
    <w:p>
      <w:pPr>
        <w:widowControl/>
        <w:spacing w:line="360" w:lineRule="atLeast"/>
        <w:ind w:firstLine="470" w:firstLineChars="196"/>
        <w:jc w:val="left"/>
        <w:outlineLvl w:val="1"/>
        <w:rPr>
          <w:rFonts w:hint="eastAsia" w:ascii="宋体"/>
          <w:sz w:val="24"/>
          <w:highlight w:val="none"/>
        </w:rPr>
      </w:pP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供应商名称：XXXX（单位盖章）。</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日    期：XXXX。</w:t>
      </w:r>
    </w:p>
    <w:p>
      <w:pPr>
        <w:widowControl/>
        <w:spacing w:line="360" w:lineRule="atLeast"/>
        <w:jc w:val="left"/>
        <w:outlineLvl w:val="1"/>
        <w:rPr>
          <w:rFonts w:hint="eastAsia" w:ascii="宋体"/>
          <w:b/>
          <w:sz w:val="24"/>
          <w:highlight w:val="none"/>
        </w:rPr>
      </w:pPr>
      <w:bookmarkStart w:id="116" w:name="_Toc217446084"/>
    </w:p>
    <w:p>
      <w:pPr>
        <w:widowControl/>
        <w:spacing w:line="360" w:lineRule="atLeast"/>
        <w:jc w:val="left"/>
        <w:outlineLvl w:val="1"/>
        <w:rPr>
          <w:rFonts w:hint="eastAsia" w:ascii="宋体"/>
          <w:b/>
          <w:sz w:val="24"/>
          <w:highlight w:val="none"/>
        </w:rPr>
      </w:pPr>
    </w:p>
    <w:p>
      <w:pPr>
        <w:widowControl/>
        <w:spacing w:line="360" w:lineRule="atLeast"/>
        <w:jc w:val="left"/>
        <w:outlineLvl w:val="1"/>
        <w:rPr>
          <w:rFonts w:hint="eastAsia" w:ascii="宋体"/>
          <w:b/>
          <w:sz w:val="24"/>
          <w:highlight w:val="none"/>
        </w:rPr>
      </w:pPr>
    </w:p>
    <w:p>
      <w:pPr>
        <w:widowControl/>
        <w:spacing w:line="360" w:lineRule="atLeast"/>
        <w:jc w:val="left"/>
        <w:outlineLvl w:val="1"/>
        <w:rPr>
          <w:rFonts w:hint="eastAsia" w:ascii="宋体"/>
          <w:b/>
          <w:sz w:val="24"/>
          <w:highlight w:val="none"/>
        </w:rPr>
      </w:pPr>
    </w:p>
    <w:p>
      <w:pPr>
        <w:spacing w:line="400" w:lineRule="exact"/>
        <w:ind w:left="840" w:hanging="840" w:hangingChars="350"/>
        <w:jc w:val="left"/>
        <w:rPr>
          <w:rFonts w:hAnsi="宋体"/>
          <w:sz w:val="24"/>
          <w:highlight w:val="none"/>
        </w:rPr>
      </w:pPr>
      <w:r>
        <w:rPr>
          <w:rFonts w:hint="eastAsia" w:hAnsi="宋体"/>
          <w:sz w:val="24"/>
          <w:highlight w:val="none"/>
        </w:rPr>
        <w:t>注：</w:t>
      </w:r>
    </w:p>
    <w:p>
      <w:pPr>
        <w:spacing w:line="400" w:lineRule="exact"/>
        <w:ind w:firstLine="480" w:firstLineChars="200"/>
        <w:rPr>
          <w:rFonts w:hint="eastAsia" w:hAnsi="宋体"/>
          <w:sz w:val="24"/>
          <w:highlight w:val="none"/>
        </w:rPr>
      </w:pPr>
      <w:r>
        <w:rPr>
          <w:rFonts w:hint="eastAsia" w:hAnsi="宋体"/>
          <w:sz w:val="24"/>
          <w:highlight w:val="none"/>
        </w:rPr>
        <w:t>1、应附法定代表人/单位负责人身份证明文件复印件和授权代表身份证明文件复印件。</w:t>
      </w:r>
    </w:p>
    <w:p>
      <w:pPr>
        <w:spacing w:line="400" w:lineRule="exact"/>
        <w:ind w:firstLine="480" w:firstLineChars="200"/>
        <w:rPr>
          <w:rFonts w:hint="eastAsia" w:hAnsi="宋体"/>
          <w:sz w:val="24"/>
          <w:highlight w:val="none"/>
        </w:rPr>
      </w:pPr>
      <w:r>
        <w:rPr>
          <w:rFonts w:hint="eastAsia" w:hAnsi="宋体"/>
          <w:sz w:val="24"/>
          <w:highlight w:val="none"/>
        </w:rPr>
        <w:t>2、身份证明文件包括居民身份证、户口本、军官证、外籍人员的护照等。</w:t>
      </w:r>
    </w:p>
    <w:p>
      <w:pPr>
        <w:spacing w:line="400" w:lineRule="exact"/>
        <w:ind w:firstLine="480" w:firstLineChars="200"/>
        <w:rPr>
          <w:rFonts w:hint="eastAsia" w:hAnsi="宋体"/>
          <w:sz w:val="24"/>
          <w:highlight w:val="none"/>
        </w:rPr>
      </w:pPr>
      <w:r>
        <w:rPr>
          <w:rFonts w:hint="eastAsia" w:hAnsi="宋体"/>
          <w:sz w:val="24"/>
          <w:highlight w:val="none"/>
        </w:rPr>
        <w:t>3、身份证明文件应同时提供其在有效期的材料，如居民身份证反面复印件。</w:t>
      </w:r>
    </w:p>
    <w:p>
      <w:pPr>
        <w:widowControl/>
        <w:spacing w:line="360" w:lineRule="atLeast"/>
        <w:jc w:val="left"/>
        <w:outlineLvl w:val="1"/>
        <w:rPr>
          <w:rFonts w:hint="eastAsia" w:ascii="宋体"/>
          <w:b/>
          <w:sz w:val="24"/>
          <w:highlight w:val="none"/>
        </w:rPr>
      </w:pPr>
    </w:p>
    <w:p>
      <w:pPr>
        <w:widowControl/>
        <w:spacing w:line="360" w:lineRule="atLeast"/>
        <w:jc w:val="left"/>
        <w:outlineLvl w:val="1"/>
        <w:rPr>
          <w:rFonts w:hint="eastAsia" w:ascii="宋体"/>
          <w:b/>
          <w:sz w:val="24"/>
          <w:highlight w:val="none"/>
        </w:rPr>
      </w:pPr>
    </w:p>
    <w:p>
      <w:pPr>
        <w:widowControl/>
        <w:spacing w:line="360" w:lineRule="atLeast"/>
        <w:jc w:val="left"/>
        <w:outlineLvl w:val="1"/>
        <w:rPr>
          <w:rFonts w:hint="eastAsia" w:ascii="宋体"/>
          <w:b/>
          <w:sz w:val="24"/>
          <w:highlight w:val="none"/>
        </w:rPr>
      </w:pPr>
    </w:p>
    <w:bookmarkEnd w:id="116"/>
    <w:p>
      <w:pPr>
        <w:widowControl/>
        <w:spacing w:line="360" w:lineRule="atLeast"/>
        <w:ind w:firstLine="472" w:firstLineChars="196"/>
        <w:jc w:val="left"/>
        <w:outlineLvl w:val="1"/>
        <w:rPr>
          <w:rFonts w:hint="eastAsia" w:ascii="宋体"/>
          <w:b/>
          <w:sz w:val="24"/>
          <w:highlight w:val="none"/>
        </w:rPr>
      </w:pPr>
      <w:bookmarkStart w:id="117" w:name="_Toc217446085"/>
    </w:p>
    <w:p>
      <w:pPr>
        <w:widowControl/>
        <w:spacing w:line="360" w:lineRule="atLeast"/>
        <w:ind w:firstLine="472" w:firstLineChars="196"/>
        <w:jc w:val="left"/>
        <w:outlineLvl w:val="1"/>
        <w:rPr>
          <w:rFonts w:hint="eastAsia" w:ascii="宋体"/>
          <w:b/>
          <w:sz w:val="24"/>
          <w:highlight w:val="none"/>
        </w:rPr>
      </w:pPr>
      <w:r>
        <w:rPr>
          <w:rFonts w:hint="eastAsia" w:ascii="宋体"/>
          <w:b/>
          <w:sz w:val="24"/>
          <w:highlight w:val="none"/>
        </w:rPr>
        <w:br w:type="page"/>
      </w:r>
    </w:p>
    <w:p>
      <w:pPr>
        <w:widowControl/>
        <w:spacing w:line="360" w:lineRule="atLeast"/>
        <w:jc w:val="center"/>
        <w:outlineLvl w:val="1"/>
        <w:rPr>
          <w:rFonts w:hint="eastAsia" w:ascii="黑体" w:eastAsia="黑体"/>
          <w:b/>
          <w:sz w:val="32"/>
          <w:szCs w:val="32"/>
          <w:highlight w:val="none"/>
        </w:rPr>
      </w:pPr>
      <w:r>
        <w:rPr>
          <w:rFonts w:hint="eastAsia" w:ascii="黑体" w:eastAsia="黑体"/>
          <w:b/>
          <w:sz w:val="32"/>
          <w:szCs w:val="32"/>
          <w:highlight w:val="none"/>
        </w:rPr>
        <w:t>四、开标一览表</w:t>
      </w:r>
      <w:bookmarkEnd w:id="117"/>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 xml:space="preserve">                                                                  </w:t>
      </w:r>
    </w:p>
    <w:tbl>
      <w:tblPr>
        <w:tblStyle w:val="25"/>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354"/>
        <w:gridCol w:w="1386"/>
        <w:gridCol w:w="2036"/>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9" w:type="dxa"/>
            <w:noWrap w:val="0"/>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序号</w:t>
            </w:r>
          </w:p>
        </w:tc>
        <w:tc>
          <w:tcPr>
            <w:tcW w:w="2740" w:type="dxa"/>
            <w:gridSpan w:val="2"/>
            <w:noWrap w:val="0"/>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服务内容</w:t>
            </w:r>
          </w:p>
        </w:tc>
        <w:tc>
          <w:tcPr>
            <w:tcW w:w="2036" w:type="dxa"/>
            <w:noWrap w:val="0"/>
            <w:vAlign w:val="center"/>
          </w:tcPr>
          <w:p>
            <w:pPr>
              <w:spacing w:line="360" w:lineRule="auto"/>
              <w:jc w:val="center"/>
              <w:rPr>
                <w:rFonts w:ascii="宋体" w:hAnsi="宋体" w:cs="宋体"/>
                <w:bCs/>
                <w:kern w:val="0"/>
                <w:sz w:val="24"/>
                <w:highlight w:val="none"/>
              </w:rPr>
            </w:pPr>
            <w:r>
              <w:rPr>
                <w:rFonts w:hint="eastAsia" w:ascii="宋体" w:hAnsi="宋体" w:cs="宋体"/>
                <w:bCs/>
                <w:kern w:val="0"/>
                <w:sz w:val="24"/>
                <w:highlight w:val="none"/>
              </w:rPr>
              <w:t>服务期</w:t>
            </w:r>
          </w:p>
        </w:tc>
        <w:tc>
          <w:tcPr>
            <w:tcW w:w="3625" w:type="dxa"/>
            <w:noWrap w:val="0"/>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9" w:type="dxa"/>
            <w:noWrap w:val="0"/>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1</w:t>
            </w:r>
          </w:p>
        </w:tc>
        <w:tc>
          <w:tcPr>
            <w:tcW w:w="2740" w:type="dxa"/>
            <w:gridSpan w:val="2"/>
            <w:noWrap w:val="0"/>
            <w:vAlign w:val="center"/>
          </w:tcPr>
          <w:p>
            <w:pPr>
              <w:widowControl/>
              <w:spacing w:line="360" w:lineRule="auto"/>
              <w:jc w:val="center"/>
              <w:rPr>
                <w:rFonts w:ascii="宋体" w:hAnsi="宋体" w:cs="宋体"/>
                <w:bCs/>
                <w:kern w:val="0"/>
                <w:sz w:val="24"/>
                <w:highlight w:val="none"/>
              </w:rPr>
            </w:pPr>
          </w:p>
        </w:tc>
        <w:tc>
          <w:tcPr>
            <w:tcW w:w="2036" w:type="dxa"/>
            <w:noWrap w:val="0"/>
            <w:vAlign w:val="center"/>
          </w:tcPr>
          <w:p>
            <w:pPr>
              <w:spacing w:line="360" w:lineRule="auto"/>
              <w:jc w:val="center"/>
              <w:rPr>
                <w:rFonts w:ascii="宋体" w:hAnsi="宋体" w:cs="宋体"/>
                <w:bCs/>
                <w:kern w:val="0"/>
                <w:sz w:val="24"/>
                <w:highlight w:val="none"/>
              </w:rPr>
            </w:pPr>
          </w:p>
        </w:tc>
        <w:tc>
          <w:tcPr>
            <w:tcW w:w="3625" w:type="dxa"/>
            <w:noWrap w:val="0"/>
            <w:vAlign w:val="center"/>
          </w:tcPr>
          <w:p>
            <w:pPr>
              <w:widowControl/>
              <w:spacing w:line="360" w:lineRule="auto"/>
              <w:jc w:val="center"/>
              <w:rPr>
                <w:rFonts w:ascii="宋体" w:hAnsi="宋体" w:cs="宋体"/>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19" w:type="dxa"/>
            <w:noWrap w:val="0"/>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2</w:t>
            </w:r>
          </w:p>
        </w:tc>
        <w:tc>
          <w:tcPr>
            <w:tcW w:w="2740" w:type="dxa"/>
            <w:gridSpan w:val="2"/>
            <w:noWrap w:val="0"/>
            <w:vAlign w:val="center"/>
          </w:tcPr>
          <w:p>
            <w:pPr>
              <w:widowControl/>
              <w:spacing w:line="360" w:lineRule="auto"/>
              <w:jc w:val="center"/>
              <w:rPr>
                <w:rFonts w:ascii="宋体" w:hAnsi="宋体" w:cs="宋体"/>
                <w:bCs/>
                <w:kern w:val="0"/>
                <w:sz w:val="24"/>
                <w:highlight w:val="none"/>
              </w:rPr>
            </w:pPr>
          </w:p>
        </w:tc>
        <w:tc>
          <w:tcPr>
            <w:tcW w:w="2036" w:type="dxa"/>
            <w:noWrap w:val="0"/>
            <w:vAlign w:val="center"/>
          </w:tcPr>
          <w:p>
            <w:pPr>
              <w:spacing w:line="360" w:lineRule="auto"/>
              <w:jc w:val="center"/>
              <w:rPr>
                <w:rFonts w:ascii="宋体" w:hAnsi="宋体" w:cs="宋体"/>
                <w:bCs/>
                <w:kern w:val="0"/>
                <w:sz w:val="24"/>
                <w:highlight w:val="none"/>
              </w:rPr>
            </w:pPr>
          </w:p>
        </w:tc>
        <w:tc>
          <w:tcPr>
            <w:tcW w:w="3625" w:type="dxa"/>
            <w:noWrap w:val="0"/>
            <w:vAlign w:val="center"/>
          </w:tcPr>
          <w:p>
            <w:pPr>
              <w:widowControl/>
              <w:spacing w:line="360" w:lineRule="auto"/>
              <w:jc w:val="center"/>
              <w:rPr>
                <w:rFonts w:ascii="宋体" w:hAnsi="宋体" w:cs="宋体"/>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19" w:type="dxa"/>
            <w:noWrap w:val="0"/>
            <w:vAlign w:val="center"/>
          </w:tcPr>
          <w:p>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3</w:t>
            </w:r>
          </w:p>
        </w:tc>
        <w:tc>
          <w:tcPr>
            <w:tcW w:w="2740" w:type="dxa"/>
            <w:gridSpan w:val="2"/>
            <w:noWrap w:val="0"/>
            <w:vAlign w:val="center"/>
          </w:tcPr>
          <w:p>
            <w:pPr>
              <w:widowControl/>
              <w:spacing w:line="360" w:lineRule="auto"/>
              <w:jc w:val="center"/>
              <w:rPr>
                <w:rFonts w:ascii="宋体" w:hAnsi="宋体" w:cs="宋体"/>
                <w:bCs/>
                <w:kern w:val="0"/>
                <w:sz w:val="24"/>
                <w:highlight w:val="none"/>
              </w:rPr>
            </w:pPr>
          </w:p>
        </w:tc>
        <w:tc>
          <w:tcPr>
            <w:tcW w:w="2036" w:type="dxa"/>
            <w:noWrap w:val="0"/>
            <w:vAlign w:val="center"/>
          </w:tcPr>
          <w:p>
            <w:pPr>
              <w:spacing w:line="360" w:lineRule="auto"/>
              <w:jc w:val="center"/>
              <w:rPr>
                <w:rFonts w:ascii="宋体" w:hAnsi="宋体" w:cs="宋体"/>
                <w:bCs/>
                <w:kern w:val="0"/>
                <w:sz w:val="24"/>
                <w:highlight w:val="none"/>
              </w:rPr>
            </w:pPr>
          </w:p>
        </w:tc>
        <w:tc>
          <w:tcPr>
            <w:tcW w:w="3625" w:type="dxa"/>
            <w:noWrap w:val="0"/>
            <w:vAlign w:val="center"/>
          </w:tcPr>
          <w:p>
            <w:pPr>
              <w:widowControl/>
              <w:spacing w:line="360" w:lineRule="auto"/>
              <w:jc w:val="center"/>
              <w:rPr>
                <w:rFonts w:ascii="宋体" w:hAnsi="宋体" w:cs="宋体"/>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595" w:type="dxa"/>
            <w:gridSpan w:val="4"/>
            <w:noWrap w:val="0"/>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合  计(万元)</w:t>
            </w:r>
          </w:p>
        </w:tc>
        <w:tc>
          <w:tcPr>
            <w:tcW w:w="3625" w:type="dxa"/>
            <w:noWrap w:val="0"/>
            <w:vAlign w:val="center"/>
          </w:tcPr>
          <w:p>
            <w:pPr>
              <w:widowControl/>
              <w:spacing w:line="360" w:lineRule="auto"/>
              <w:rPr>
                <w:rFonts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73" w:type="dxa"/>
            <w:gridSpan w:val="2"/>
            <w:noWrap w:val="0"/>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比选总价</w:t>
            </w:r>
          </w:p>
        </w:tc>
        <w:tc>
          <w:tcPr>
            <w:tcW w:w="7047" w:type="dxa"/>
            <w:gridSpan w:val="3"/>
            <w:noWrap w:val="0"/>
            <w:vAlign w:val="center"/>
          </w:tcPr>
          <w:p>
            <w:pPr>
              <w:widowControl/>
              <w:spacing w:line="360" w:lineRule="auto"/>
              <w:rPr>
                <w:rFonts w:ascii="宋体" w:hAnsi="宋体" w:cs="宋体"/>
                <w:kern w:val="0"/>
                <w:sz w:val="24"/>
                <w:highlight w:val="none"/>
              </w:rPr>
            </w:pPr>
            <w:r>
              <w:rPr>
                <w:rFonts w:hint="eastAsia" w:ascii="宋体" w:hAnsi="宋体"/>
                <w:b/>
                <w:sz w:val="24"/>
                <w:highlight w:val="none"/>
              </w:rPr>
              <w:t>人民币大写：</w:t>
            </w:r>
            <w:r>
              <w:rPr>
                <w:rFonts w:ascii="宋体" w:hAnsi="宋体"/>
                <w:b/>
                <w:sz w:val="24"/>
                <w:highlight w:val="none"/>
                <w:u w:val="single"/>
              </w:rPr>
              <w:t xml:space="preserve">           </w:t>
            </w:r>
            <w:r>
              <w:rPr>
                <w:rFonts w:hint="eastAsia" w:ascii="宋体" w:hAnsi="宋体"/>
                <w:b/>
                <w:sz w:val="24"/>
                <w:highlight w:val="none"/>
              </w:rPr>
              <w:t>（人民币小写：</w:t>
            </w:r>
            <w:r>
              <w:rPr>
                <w:rFonts w:ascii="宋体" w:hAnsi="宋体"/>
                <w:b/>
                <w:sz w:val="24"/>
                <w:highlight w:val="none"/>
                <w:u w:val="single"/>
              </w:rPr>
              <w:t xml:space="preserve">      </w:t>
            </w:r>
            <w:r>
              <w:rPr>
                <w:rFonts w:hint="eastAsia" w:ascii="宋体" w:hAnsi="宋体"/>
                <w:b/>
                <w:sz w:val="24"/>
                <w:highlight w:val="none"/>
              </w:rPr>
              <w:t>万元）</w:t>
            </w:r>
          </w:p>
        </w:tc>
      </w:tr>
    </w:tbl>
    <w:p>
      <w:pPr>
        <w:widowControl/>
        <w:spacing w:line="360" w:lineRule="atLeast"/>
        <w:jc w:val="left"/>
        <w:outlineLvl w:val="1"/>
        <w:rPr>
          <w:rFonts w:hint="eastAsia" w:ascii="宋体"/>
          <w:sz w:val="24"/>
          <w:highlight w:val="none"/>
        </w:rPr>
      </w:pP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 xml:space="preserve">注：1. 报价应是最终用户验收合格后的总价，包括设备运输、保险、代理、安装调试、培训、税费、系统集成费用和比选文件规定的其它费用。 </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2.“开标一览表”为多页的，每页均需由法定代表人/单位负责人或授权代表签字并盖供应商印章。</w:t>
      </w:r>
    </w:p>
    <w:p>
      <w:pPr>
        <w:spacing w:line="400" w:lineRule="exact"/>
        <w:ind w:firstLine="480" w:firstLineChars="200"/>
        <w:rPr>
          <w:rFonts w:hAnsi="宋体"/>
          <w:sz w:val="24"/>
          <w:highlight w:val="none"/>
        </w:rPr>
      </w:pPr>
      <w:r>
        <w:rPr>
          <w:rFonts w:hint="eastAsia" w:hAnsi="宋体"/>
          <w:sz w:val="24"/>
          <w:highlight w:val="none"/>
        </w:rPr>
        <w:t>3、“开标一览表”以包为单位填写，除了单独密封递交外，比选</w:t>
      </w:r>
      <w:r>
        <w:rPr>
          <w:rFonts w:hint="eastAsia" w:hAnsi="宋体"/>
          <w:sz w:val="24"/>
          <w:highlight w:val="none"/>
          <w:lang w:eastAsia="zh-CN"/>
        </w:rPr>
        <w:t>申请</w:t>
      </w:r>
      <w:r>
        <w:rPr>
          <w:rFonts w:hint="eastAsia" w:hAnsi="宋体"/>
          <w:sz w:val="24"/>
          <w:highlight w:val="none"/>
        </w:rPr>
        <w:t>文件（正副本）也应当提供，如有遗漏，将视为无效比选。</w:t>
      </w:r>
    </w:p>
    <w:p>
      <w:pPr>
        <w:spacing w:line="400" w:lineRule="exact"/>
        <w:ind w:firstLine="480" w:firstLineChars="200"/>
        <w:rPr>
          <w:rFonts w:hAnsi="宋体"/>
          <w:sz w:val="24"/>
          <w:highlight w:val="none"/>
        </w:rPr>
      </w:pPr>
      <w:r>
        <w:rPr>
          <w:rFonts w:hint="eastAsia" w:hAnsi="宋体"/>
          <w:sz w:val="24"/>
          <w:highlight w:val="none"/>
        </w:rPr>
        <w:t>4、如是进口设备，须在表格中标明“进口”。</w:t>
      </w:r>
    </w:p>
    <w:p>
      <w:pPr>
        <w:widowControl/>
        <w:spacing w:line="360" w:lineRule="atLeast"/>
        <w:ind w:firstLine="470" w:firstLineChars="196"/>
        <w:jc w:val="left"/>
        <w:outlineLvl w:val="1"/>
        <w:rPr>
          <w:rFonts w:hint="eastAsia" w:ascii="宋体"/>
          <w:sz w:val="24"/>
          <w:highlight w:val="none"/>
        </w:rPr>
      </w:pP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供应商名称：XXXX（单位公章）。</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法定代表人/单位负责人或授权代表（签字或加盖个人名章）：XXXX。</w:t>
      </w:r>
    </w:p>
    <w:p>
      <w:pPr>
        <w:widowControl/>
        <w:spacing w:line="360" w:lineRule="atLeast"/>
        <w:ind w:firstLine="470" w:firstLineChars="196"/>
        <w:jc w:val="left"/>
        <w:outlineLvl w:val="1"/>
        <w:rPr>
          <w:rFonts w:hint="eastAsia" w:ascii="宋体"/>
          <w:b/>
          <w:sz w:val="24"/>
          <w:highlight w:val="none"/>
        </w:rPr>
        <w:sectPr>
          <w:pgSz w:w="11907" w:h="16840"/>
          <w:pgMar w:top="1440" w:right="1474" w:bottom="1440" w:left="1474" w:header="851" w:footer="992" w:gutter="0"/>
          <w:cols w:space="720" w:num="1"/>
          <w:docGrid w:linePitch="312" w:charSpace="0"/>
        </w:sectPr>
      </w:pPr>
      <w:r>
        <w:rPr>
          <w:rFonts w:hint="eastAsia" w:ascii="宋体"/>
          <w:sz w:val="24"/>
          <w:highlight w:val="none"/>
        </w:rPr>
        <w:t>比选日期：XXXX。</w:t>
      </w:r>
    </w:p>
    <w:p>
      <w:pPr>
        <w:widowControl/>
        <w:spacing w:line="360" w:lineRule="atLeast"/>
        <w:jc w:val="center"/>
        <w:outlineLvl w:val="1"/>
        <w:rPr>
          <w:rFonts w:hint="eastAsia" w:ascii="黑体" w:eastAsia="黑体"/>
          <w:b/>
          <w:sz w:val="32"/>
          <w:szCs w:val="32"/>
          <w:highlight w:val="none"/>
        </w:rPr>
      </w:pPr>
      <w:bookmarkStart w:id="118" w:name="_Toc217446086"/>
      <w:r>
        <w:rPr>
          <w:rFonts w:hint="eastAsia" w:ascii="黑体" w:eastAsia="黑体"/>
          <w:b/>
          <w:sz w:val="32"/>
          <w:szCs w:val="32"/>
          <w:highlight w:val="none"/>
        </w:rPr>
        <w:t>五、分项报价明细表</w:t>
      </w:r>
      <w:bookmarkEnd w:id="118"/>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pStyle w:val="3"/>
              <w:spacing w:before="120" w:beforeLines="50" w:line="360" w:lineRule="auto"/>
              <w:jc w:val="center"/>
              <w:rPr>
                <w:rFonts w:hint="eastAsia" w:hAnsi="宋体"/>
                <w:kern w:val="0"/>
                <w:sz w:val="24"/>
                <w:highlight w:val="none"/>
              </w:rPr>
            </w:pPr>
            <w:r>
              <w:rPr>
                <w:rFonts w:hint="eastAsia" w:hAnsi="宋体"/>
                <w:kern w:val="0"/>
                <w:sz w:val="24"/>
                <w:highlight w:val="none"/>
              </w:rPr>
              <w:t>序号</w:t>
            </w:r>
          </w:p>
        </w:tc>
        <w:tc>
          <w:tcPr>
            <w:tcW w:w="4190" w:type="dxa"/>
            <w:noWrap w:val="0"/>
            <w:vAlign w:val="center"/>
          </w:tcPr>
          <w:p>
            <w:pPr>
              <w:pStyle w:val="3"/>
              <w:spacing w:before="120" w:beforeLines="50" w:line="360" w:lineRule="auto"/>
              <w:jc w:val="center"/>
              <w:rPr>
                <w:rFonts w:hint="eastAsia" w:hAnsi="宋体"/>
                <w:kern w:val="0"/>
                <w:sz w:val="24"/>
                <w:highlight w:val="none"/>
              </w:rPr>
            </w:pPr>
            <w:r>
              <w:rPr>
                <w:rFonts w:hint="eastAsia" w:hAnsi="宋体"/>
                <w:kern w:val="0"/>
                <w:sz w:val="24"/>
                <w:highlight w:val="none"/>
              </w:rPr>
              <w:t>服务内容</w:t>
            </w:r>
          </w:p>
        </w:tc>
        <w:tc>
          <w:tcPr>
            <w:tcW w:w="3556" w:type="dxa"/>
            <w:noWrap w:val="0"/>
            <w:vAlign w:val="center"/>
          </w:tcPr>
          <w:p>
            <w:pPr>
              <w:pStyle w:val="3"/>
              <w:spacing w:before="120" w:beforeLines="50" w:line="360" w:lineRule="auto"/>
              <w:jc w:val="center"/>
              <w:rPr>
                <w:rFonts w:hint="eastAsia" w:hAnsi="宋体"/>
                <w:kern w:val="0"/>
                <w:sz w:val="24"/>
                <w:highlight w:val="none"/>
              </w:rPr>
            </w:pPr>
            <w:r>
              <w:rPr>
                <w:rFonts w:hint="eastAsia" w:hAnsi="宋体"/>
                <w:kern w:val="0"/>
                <w:sz w:val="24"/>
                <w:highlight w:val="none"/>
              </w:rPr>
              <w:t>单项价格（单位：万元）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snapToGrid w:val="0"/>
              <w:spacing w:line="360" w:lineRule="auto"/>
              <w:jc w:val="center"/>
              <w:rPr>
                <w:rFonts w:hint="eastAsia" w:ascii="宋体" w:hAnsi="宋体"/>
                <w:sz w:val="24"/>
                <w:highlight w:val="none"/>
              </w:rPr>
            </w:pPr>
            <w:r>
              <w:rPr>
                <w:rFonts w:hint="eastAsia" w:ascii="宋体" w:hAnsi="宋体"/>
                <w:sz w:val="24"/>
                <w:highlight w:val="none"/>
              </w:rPr>
              <w:t>1</w:t>
            </w:r>
          </w:p>
        </w:tc>
        <w:tc>
          <w:tcPr>
            <w:tcW w:w="4190" w:type="dxa"/>
            <w:noWrap w:val="0"/>
            <w:vAlign w:val="center"/>
          </w:tcPr>
          <w:p>
            <w:pPr>
              <w:pStyle w:val="3"/>
              <w:spacing w:line="360" w:lineRule="auto"/>
              <w:jc w:val="center"/>
              <w:rPr>
                <w:rFonts w:hint="eastAsia" w:hAnsi="宋体"/>
                <w:kern w:val="0"/>
                <w:sz w:val="24"/>
                <w:highlight w:val="none"/>
              </w:rPr>
            </w:pPr>
          </w:p>
        </w:tc>
        <w:tc>
          <w:tcPr>
            <w:tcW w:w="3556" w:type="dxa"/>
            <w:noWrap w:val="0"/>
            <w:vAlign w:val="center"/>
          </w:tcPr>
          <w:p>
            <w:pPr>
              <w:pStyle w:val="3"/>
              <w:spacing w:line="360" w:lineRule="auto"/>
              <w:jc w:val="center"/>
              <w:rPr>
                <w:rFonts w:hint="eastAsia"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snapToGrid w:val="0"/>
              <w:spacing w:line="360" w:lineRule="auto"/>
              <w:jc w:val="center"/>
              <w:rPr>
                <w:rFonts w:hint="eastAsia" w:ascii="宋体" w:hAnsi="宋体"/>
                <w:sz w:val="24"/>
                <w:highlight w:val="none"/>
              </w:rPr>
            </w:pPr>
            <w:r>
              <w:rPr>
                <w:rFonts w:hint="eastAsia" w:ascii="宋体" w:hAnsi="宋体"/>
                <w:sz w:val="24"/>
                <w:highlight w:val="none"/>
              </w:rPr>
              <w:t>2</w:t>
            </w:r>
          </w:p>
        </w:tc>
        <w:tc>
          <w:tcPr>
            <w:tcW w:w="4190" w:type="dxa"/>
            <w:noWrap w:val="0"/>
            <w:vAlign w:val="center"/>
          </w:tcPr>
          <w:p>
            <w:pPr>
              <w:pStyle w:val="3"/>
              <w:spacing w:line="360" w:lineRule="auto"/>
              <w:jc w:val="center"/>
              <w:rPr>
                <w:rFonts w:hint="eastAsia" w:hAnsi="宋体"/>
                <w:kern w:val="0"/>
                <w:sz w:val="24"/>
                <w:highlight w:val="none"/>
              </w:rPr>
            </w:pPr>
          </w:p>
        </w:tc>
        <w:tc>
          <w:tcPr>
            <w:tcW w:w="3556" w:type="dxa"/>
            <w:noWrap w:val="0"/>
            <w:vAlign w:val="center"/>
          </w:tcPr>
          <w:p>
            <w:pPr>
              <w:pStyle w:val="3"/>
              <w:spacing w:line="360" w:lineRule="auto"/>
              <w:jc w:val="center"/>
              <w:rPr>
                <w:rFonts w:hint="eastAsia"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noWrap w:val="0"/>
            <w:vAlign w:val="center"/>
          </w:tcPr>
          <w:p>
            <w:pPr>
              <w:snapToGrid w:val="0"/>
              <w:spacing w:line="360" w:lineRule="auto"/>
              <w:jc w:val="center"/>
              <w:rPr>
                <w:rFonts w:hint="eastAsia" w:ascii="宋体" w:hAnsi="宋体"/>
                <w:sz w:val="24"/>
                <w:highlight w:val="none"/>
              </w:rPr>
            </w:pPr>
            <w:r>
              <w:rPr>
                <w:rFonts w:hint="eastAsia" w:ascii="宋体" w:hAnsi="宋体"/>
                <w:sz w:val="24"/>
                <w:highlight w:val="none"/>
              </w:rPr>
              <w:t>3</w:t>
            </w:r>
          </w:p>
        </w:tc>
        <w:tc>
          <w:tcPr>
            <w:tcW w:w="4190" w:type="dxa"/>
            <w:noWrap w:val="0"/>
            <w:vAlign w:val="center"/>
          </w:tcPr>
          <w:p>
            <w:pPr>
              <w:pStyle w:val="3"/>
              <w:spacing w:line="360" w:lineRule="auto"/>
              <w:jc w:val="center"/>
              <w:rPr>
                <w:rFonts w:hint="eastAsia" w:hAnsi="宋体"/>
                <w:kern w:val="0"/>
                <w:sz w:val="24"/>
                <w:highlight w:val="none"/>
              </w:rPr>
            </w:pPr>
          </w:p>
        </w:tc>
        <w:tc>
          <w:tcPr>
            <w:tcW w:w="3556" w:type="dxa"/>
            <w:noWrap w:val="0"/>
            <w:vAlign w:val="center"/>
          </w:tcPr>
          <w:p>
            <w:pPr>
              <w:pStyle w:val="3"/>
              <w:spacing w:line="360" w:lineRule="auto"/>
              <w:jc w:val="center"/>
              <w:rPr>
                <w:rFonts w:hint="eastAsia"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noWrap w:val="0"/>
            <w:vAlign w:val="center"/>
          </w:tcPr>
          <w:p>
            <w:pPr>
              <w:pStyle w:val="3"/>
              <w:spacing w:line="360" w:lineRule="auto"/>
              <w:jc w:val="center"/>
              <w:rPr>
                <w:rFonts w:hint="eastAsia" w:hAnsi="宋体"/>
                <w:kern w:val="0"/>
                <w:sz w:val="24"/>
                <w:highlight w:val="none"/>
              </w:rPr>
            </w:pPr>
            <w:r>
              <w:rPr>
                <w:rFonts w:hAnsi="宋体"/>
                <w:kern w:val="0"/>
                <w:sz w:val="24"/>
                <w:highlight w:val="none"/>
              </w:rPr>
              <w:t>…</w:t>
            </w:r>
          </w:p>
        </w:tc>
        <w:tc>
          <w:tcPr>
            <w:tcW w:w="4190" w:type="dxa"/>
            <w:noWrap w:val="0"/>
            <w:vAlign w:val="center"/>
          </w:tcPr>
          <w:p>
            <w:pPr>
              <w:pStyle w:val="3"/>
              <w:spacing w:line="360" w:lineRule="auto"/>
              <w:jc w:val="center"/>
              <w:rPr>
                <w:rFonts w:hint="eastAsia" w:hAnsi="宋体"/>
                <w:kern w:val="0"/>
                <w:sz w:val="24"/>
                <w:highlight w:val="none"/>
              </w:rPr>
            </w:pPr>
          </w:p>
        </w:tc>
        <w:tc>
          <w:tcPr>
            <w:tcW w:w="3556" w:type="dxa"/>
            <w:noWrap w:val="0"/>
            <w:vAlign w:val="center"/>
          </w:tcPr>
          <w:p>
            <w:pPr>
              <w:pStyle w:val="3"/>
              <w:spacing w:line="360" w:lineRule="auto"/>
              <w:jc w:val="center"/>
              <w:rPr>
                <w:rFonts w:hint="eastAsia"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pStyle w:val="3"/>
              <w:spacing w:line="360" w:lineRule="auto"/>
              <w:jc w:val="center"/>
              <w:rPr>
                <w:rFonts w:hint="eastAsia" w:hAnsi="宋体"/>
                <w:kern w:val="0"/>
                <w:sz w:val="24"/>
                <w:highlight w:val="none"/>
              </w:rPr>
            </w:pPr>
          </w:p>
        </w:tc>
        <w:tc>
          <w:tcPr>
            <w:tcW w:w="4190" w:type="dxa"/>
            <w:noWrap w:val="0"/>
            <w:vAlign w:val="center"/>
          </w:tcPr>
          <w:p>
            <w:pPr>
              <w:pStyle w:val="3"/>
              <w:spacing w:line="360" w:lineRule="auto"/>
              <w:jc w:val="center"/>
              <w:rPr>
                <w:rFonts w:hint="eastAsia" w:hAnsi="宋体"/>
                <w:kern w:val="0"/>
                <w:sz w:val="24"/>
                <w:highlight w:val="none"/>
              </w:rPr>
            </w:pPr>
          </w:p>
        </w:tc>
        <w:tc>
          <w:tcPr>
            <w:tcW w:w="3556" w:type="dxa"/>
            <w:noWrap w:val="0"/>
            <w:vAlign w:val="center"/>
          </w:tcPr>
          <w:p>
            <w:pPr>
              <w:pStyle w:val="3"/>
              <w:spacing w:line="360" w:lineRule="auto"/>
              <w:jc w:val="center"/>
              <w:rPr>
                <w:rFonts w:hint="eastAsia"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pStyle w:val="3"/>
              <w:spacing w:line="360" w:lineRule="auto"/>
              <w:jc w:val="center"/>
              <w:rPr>
                <w:rFonts w:hint="eastAsia" w:hAnsi="宋体"/>
                <w:kern w:val="0"/>
                <w:sz w:val="24"/>
                <w:highlight w:val="none"/>
              </w:rPr>
            </w:pPr>
          </w:p>
        </w:tc>
        <w:tc>
          <w:tcPr>
            <w:tcW w:w="4190" w:type="dxa"/>
            <w:noWrap w:val="0"/>
            <w:vAlign w:val="center"/>
          </w:tcPr>
          <w:p>
            <w:pPr>
              <w:pStyle w:val="3"/>
              <w:spacing w:line="360" w:lineRule="auto"/>
              <w:jc w:val="center"/>
              <w:rPr>
                <w:rFonts w:hint="eastAsia" w:hAnsi="宋体"/>
                <w:kern w:val="0"/>
                <w:sz w:val="24"/>
                <w:highlight w:val="none"/>
              </w:rPr>
            </w:pPr>
          </w:p>
        </w:tc>
        <w:tc>
          <w:tcPr>
            <w:tcW w:w="3556" w:type="dxa"/>
            <w:noWrap w:val="0"/>
            <w:vAlign w:val="center"/>
          </w:tcPr>
          <w:p>
            <w:pPr>
              <w:pStyle w:val="3"/>
              <w:spacing w:line="360" w:lineRule="auto"/>
              <w:jc w:val="center"/>
              <w:rPr>
                <w:rFonts w:hint="eastAsia"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pStyle w:val="3"/>
              <w:spacing w:line="360" w:lineRule="auto"/>
              <w:jc w:val="center"/>
              <w:rPr>
                <w:rFonts w:hint="eastAsia" w:hAnsi="宋体"/>
                <w:kern w:val="0"/>
                <w:sz w:val="24"/>
                <w:highlight w:val="none"/>
              </w:rPr>
            </w:pPr>
          </w:p>
        </w:tc>
        <w:tc>
          <w:tcPr>
            <w:tcW w:w="4190" w:type="dxa"/>
            <w:noWrap w:val="0"/>
            <w:vAlign w:val="center"/>
          </w:tcPr>
          <w:p>
            <w:pPr>
              <w:pStyle w:val="3"/>
              <w:spacing w:line="360" w:lineRule="auto"/>
              <w:jc w:val="center"/>
              <w:rPr>
                <w:rFonts w:hint="eastAsia" w:hAnsi="宋体"/>
                <w:kern w:val="0"/>
                <w:sz w:val="24"/>
                <w:highlight w:val="none"/>
              </w:rPr>
            </w:pPr>
          </w:p>
        </w:tc>
        <w:tc>
          <w:tcPr>
            <w:tcW w:w="3556" w:type="dxa"/>
            <w:noWrap w:val="0"/>
            <w:vAlign w:val="center"/>
          </w:tcPr>
          <w:p>
            <w:pPr>
              <w:pStyle w:val="3"/>
              <w:spacing w:line="360" w:lineRule="auto"/>
              <w:jc w:val="center"/>
              <w:rPr>
                <w:rFonts w:hint="eastAsia"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pStyle w:val="3"/>
              <w:spacing w:line="360" w:lineRule="auto"/>
              <w:jc w:val="center"/>
              <w:rPr>
                <w:rFonts w:hint="eastAsia" w:hAnsi="宋体"/>
                <w:kern w:val="0"/>
                <w:sz w:val="24"/>
                <w:highlight w:val="none"/>
              </w:rPr>
            </w:pPr>
          </w:p>
        </w:tc>
        <w:tc>
          <w:tcPr>
            <w:tcW w:w="4190" w:type="dxa"/>
            <w:noWrap w:val="0"/>
            <w:vAlign w:val="center"/>
          </w:tcPr>
          <w:p>
            <w:pPr>
              <w:pStyle w:val="3"/>
              <w:spacing w:line="360" w:lineRule="auto"/>
              <w:jc w:val="center"/>
              <w:rPr>
                <w:rFonts w:hint="eastAsia" w:hAnsi="宋体"/>
                <w:kern w:val="0"/>
                <w:sz w:val="24"/>
                <w:highlight w:val="none"/>
              </w:rPr>
            </w:pPr>
          </w:p>
        </w:tc>
        <w:tc>
          <w:tcPr>
            <w:tcW w:w="3556" w:type="dxa"/>
            <w:noWrap w:val="0"/>
            <w:vAlign w:val="center"/>
          </w:tcPr>
          <w:p>
            <w:pPr>
              <w:pStyle w:val="3"/>
              <w:spacing w:line="360" w:lineRule="auto"/>
              <w:jc w:val="center"/>
              <w:rPr>
                <w:rFonts w:hint="eastAsia"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pStyle w:val="3"/>
              <w:spacing w:line="360" w:lineRule="auto"/>
              <w:jc w:val="center"/>
              <w:rPr>
                <w:rFonts w:hint="eastAsia" w:hAnsi="宋体"/>
                <w:kern w:val="0"/>
                <w:sz w:val="24"/>
                <w:highlight w:val="none"/>
              </w:rPr>
            </w:pPr>
          </w:p>
        </w:tc>
        <w:tc>
          <w:tcPr>
            <w:tcW w:w="4190" w:type="dxa"/>
            <w:noWrap w:val="0"/>
            <w:vAlign w:val="center"/>
          </w:tcPr>
          <w:p>
            <w:pPr>
              <w:pStyle w:val="3"/>
              <w:spacing w:line="360" w:lineRule="auto"/>
              <w:jc w:val="center"/>
              <w:rPr>
                <w:rFonts w:hint="eastAsia" w:hAnsi="宋体"/>
                <w:kern w:val="0"/>
                <w:sz w:val="24"/>
                <w:highlight w:val="none"/>
              </w:rPr>
            </w:pPr>
          </w:p>
        </w:tc>
        <w:tc>
          <w:tcPr>
            <w:tcW w:w="3556" w:type="dxa"/>
            <w:noWrap w:val="0"/>
            <w:vAlign w:val="center"/>
          </w:tcPr>
          <w:p>
            <w:pPr>
              <w:pStyle w:val="3"/>
              <w:spacing w:line="360" w:lineRule="auto"/>
              <w:jc w:val="center"/>
              <w:rPr>
                <w:rFonts w:hint="eastAsia"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pStyle w:val="3"/>
              <w:spacing w:line="360" w:lineRule="auto"/>
              <w:jc w:val="center"/>
              <w:rPr>
                <w:rFonts w:hint="eastAsia" w:hAnsi="宋体"/>
                <w:kern w:val="0"/>
                <w:sz w:val="24"/>
                <w:highlight w:val="none"/>
              </w:rPr>
            </w:pPr>
          </w:p>
        </w:tc>
        <w:tc>
          <w:tcPr>
            <w:tcW w:w="4190" w:type="dxa"/>
            <w:noWrap w:val="0"/>
            <w:vAlign w:val="center"/>
          </w:tcPr>
          <w:p>
            <w:pPr>
              <w:pStyle w:val="3"/>
              <w:spacing w:line="360" w:lineRule="auto"/>
              <w:jc w:val="center"/>
              <w:rPr>
                <w:rFonts w:hint="eastAsia" w:hAnsi="宋体"/>
                <w:kern w:val="0"/>
                <w:sz w:val="24"/>
                <w:highlight w:val="none"/>
              </w:rPr>
            </w:pPr>
          </w:p>
        </w:tc>
        <w:tc>
          <w:tcPr>
            <w:tcW w:w="3556" w:type="dxa"/>
            <w:noWrap w:val="0"/>
            <w:vAlign w:val="center"/>
          </w:tcPr>
          <w:p>
            <w:pPr>
              <w:pStyle w:val="3"/>
              <w:spacing w:line="360" w:lineRule="auto"/>
              <w:jc w:val="center"/>
              <w:rPr>
                <w:rFonts w:hint="eastAsia"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pStyle w:val="3"/>
              <w:spacing w:line="360" w:lineRule="auto"/>
              <w:jc w:val="center"/>
              <w:rPr>
                <w:rFonts w:hint="eastAsia" w:hAnsi="宋体"/>
                <w:kern w:val="0"/>
                <w:sz w:val="24"/>
                <w:highlight w:val="none"/>
              </w:rPr>
            </w:pPr>
          </w:p>
        </w:tc>
        <w:tc>
          <w:tcPr>
            <w:tcW w:w="4190" w:type="dxa"/>
            <w:noWrap w:val="0"/>
            <w:vAlign w:val="center"/>
          </w:tcPr>
          <w:p>
            <w:pPr>
              <w:pStyle w:val="3"/>
              <w:spacing w:line="360" w:lineRule="auto"/>
              <w:jc w:val="center"/>
              <w:rPr>
                <w:rFonts w:hint="eastAsia" w:hAnsi="宋体"/>
                <w:kern w:val="0"/>
                <w:sz w:val="24"/>
                <w:highlight w:val="none"/>
              </w:rPr>
            </w:pPr>
          </w:p>
        </w:tc>
        <w:tc>
          <w:tcPr>
            <w:tcW w:w="3556" w:type="dxa"/>
            <w:noWrap w:val="0"/>
            <w:vAlign w:val="center"/>
          </w:tcPr>
          <w:p>
            <w:pPr>
              <w:pStyle w:val="3"/>
              <w:spacing w:line="360" w:lineRule="auto"/>
              <w:jc w:val="center"/>
              <w:rPr>
                <w:rFonts w:hint="eastAsia"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noWrap w:val="0"/>
            <w:vAlign w:val="center"/>
          </w:tcPr>
          <w:p>
            <w:pPr>
              <w:pStyle w:val="3"/>
              <w:spacing w:line="360" w:lineRule="auto"/>
              <w:ind w:firstLine="360" w:firstLineChars="150"/>
              <w:rPr>
                <w:rFonts w:hint="eastAsia" w:hAnsi="宋体"/>
                <w:b/>
                <w:kern w:val="0"/>
                <w:sz w:val="24"/>
                <w:highlight w:val="none"/>
              </w:rPr>
            </w:pPr>
            <w:r>
              <w:rPr>
                <w:rFonts w:hint="eastAsia" w:hAnsi="宋体"/>
                <w:kern w:val="0"/>
                <w:sz w:val="24"/>
                <w:highlight w:val="none"/>
              </w:rPr>
              <w:t xml:space="preserve">   </w:t>
            </w:r>
            <w:r>
              <w:rPr>
                <w:rFonts w:hint="eastAsia" w:hAnsi="宋体"/>
                <w:b/>
                <w:kern w:val="0"/>
                <w:sz w:val="24"/>
                <w:highlight w:val="none"/>
              </w:rPr>
              <w:t>总    价(万元)</w:t>
            </w:r>
          </w:p>
        </w:tc>
        <w:tc>
          <w:tcPr>
            <w:tcW w:w="3556" w:type="dxa"/>
            <w:noWrap w:val="0"/>
            <w:vAlign w:val="center"/>
          </w:tcPr>
          <w:p>
            <w:pPr>
              <w:pStyle w:val="3"/>
              <w:spacing w:line="360" w:lineRule="auto"/>
              <w:jc w:val="center"/>
              <w:rPr>
                <w:rFonts w:hint="eastAsia" w:hAnsi="宋体"/>
                <w:kern w:val="0"/>
                <w:sz w:val="24"/>
                <w:highlight w:val="none"/>
              </w:rPr>
            </w:pPr>
          </w:p>
        </w:tc>
      </w:tr>
    </w:tbl>
    <w:p>
      <w:pPr>
        <w:widowControl/>
        <w:spacing w:line="360" w:lineRule="atLeast"/>
        <w:jc w:val="left"/>
        <w:outlineLvl w:val="1"/>
        <w:rPr>
          <w:rFonts w:hint="eastAsia" w:ascii="宋体"/>
          <w:sz w:val="24"/>
          <w:highlight w:val="none"/>
        </w:rPr>
      </w:pP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注：1、供应商必须按“分项报价明细表”的格式详细报出比选总价的各个组成部分的报价。</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 xml:space="preserve">    2、“分项报价明细表”各分项报价合计应当与“开标一览表”报价合计相等。</w:t>
      </w:r>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供应商名称：XXXX（单位盖章）。</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法定代表人/单位负责人或授权代表（签字或加盖个人名章）：XXXX。</w:t>
      </w:r>
    </w:p>
    <w:p>
      <w:pPr>
        <w:widowControl/>
        <w:spacing w:line="360" w:lineRule="atLeast"/>
        <w:ind w:firstLine="470" w:firstLineChars="196"/>
        <w:jc w:val="left"/>
        <w:outlineLvl w:val="1"/>
        <w:rPr>
          <w:rFonts w:hint="eastAsia" w:ascii="宋体"/>
          <w:sz w:val="24"/>
          <w:highlight w:val="none"/>
        </w:rPr>
        <w:sectPr>
          <w:type w:val="nextColumn"/>
          <w:pgSz w:w="11907" w:h="16840"/>
          <w:pgMar w:top="1440" w:right="1474" w:bottom="1440" w:left="1474" w:header="851" w:footer="992" w:gutter="0"/>
          <w:cols w:space="720" w:num="1"/>
          <w:docGrid w:linePitch="312" w:charSpace="0"/>
        </w:sectPr>
      </w:pPr>
      <w:r>
        <w:rPr>
          <w:rFonts w:hint="eastAsia" w:ascii="宋体"/>
          <w:sz w:val="24"/>
          <w:highlight w:val="none"/>
        </w:rPr>
        <w:t>比选日期：XXXX。</w:t>
      </w:r>
    </w:p>
    <w:p>
      <w:pPr>
        <w:widowControl/>
        <w:spacing w:line="360" w:lineRule="atLeast"/>
        <w:jc w:val="center"/>
        <w:outlineLvl w:val="1"/>
        <w:rPr>
          <w:rFonts w:hint="eastAsia" w:ascii="黑体" w:eastAsia="黑体"/>
          <w:b/>
          <w:sz w:val="32"/>
          <w:szCs w:val="32"/>
          <w:highlight w:val="none"/>
        </w:rPr>
      </w:pPr>
      <w:bookmarkStart w:id="119" w:name="_Toc217446087"/>
      <w:r>
        <w:rPr>
          <w:rFonts w:hint="eastAsia" w:ascii="黑体" w:eastAsia="黑体"/>
          <w:b/>
          <w:sz w:val="32"/>
          <w:szCs w:val="32"/>
          <w:highlight w:val="none"/>
        </w:rPr>
        <w:t>六、商务应答表</w:t>
      </w:r>
      <w:bookmarkEnd w:id="119"/>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 xml:space="preserve">比选项目：                                            </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6"/>
        <w:gridCol w:w="1516"/>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956"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序号</w:t>
            </w:r>
          </w:p>
        </w:tc>
        <w:tc>
          <w:tcPr>
            <w:tcW w:w="956"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包号</w:t>
            </w:r>
          </w:p>
        </w:tc>
        <w:tc>
          <w:tcPr>
            <w:tcW w:w="1516"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比选要求</w:t>
            </w:r>
          </w:p>
        </w:tc>
        <w:tc>
          <w:tcPr>
            <w:tcW w:w="4852" w:type="dxa"/>
            <w:noWrap w:val="0"/>
            <w:vAlign w:val="center"/>
          </w:tcPr>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比选应答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noWrap w:val="0"/>
            <w:vAlign w:val="top"/>
          </w:tcPr>
          <w:p>
            <w:pPr>
              <w:widowControl/>
              <w:spacing w:line="360" w:lineRule="atLeast"/>
              <w:ind w:firstLine="470" w:firstLineChars="196"/>
              <w:jc w:val="left"/>
              <w:outlineLvl w:val="1"/>
              <w:rPr>
                <w:rFonts w:hint="eastAsia" w:ascii="宋体"/>
                <w:sz w:val="24"/>
                <w:highlight w:val="none"/>
              </w:rPr>
            </w:pPr>
          </w:p>
        </w:tc>
        <w:tc>
          <w:tcPr>
            <w:tcW w:w="956" w:type="dxa"/>
            <w:noWrap w:val="0"/>
            <w:vAlign w:val="top"/>
          </w:tcPr>
          <w:p>
            <w:pPr>
              <w:widowControl/>
              <w:spacing w:line="360" w:lineRule="atLeast"/>
              <w:ind w:firstLine="470" w:firstLineChars="196"/>
              <w:jc w:val="left"/>
              <w:outlineLvl w:val="1"/>
              <w:rPr>
                <w:rFonts w:hint="eastAsia" w:ascii="宋体"/>
                <w:sz w:val="24"/>
                <w:highlight w:val="none"/>
              </w:rPr>
            </w:pPr>
          </w:p>
        </w:tc>
        <w:tc>
          <w:tcPr>
            <w:tcW w:w="1516" w:type="dxa"/>
            <w:noWrap w:val="0"/>
            <w:vAlign w:val="top"/>
          </w:tcPr>
          <w:p>
            <w:pPr>
              <w:widowControl/>
              <w:spacing w:line="360" w:lineRule="atLeast"/>
              <w:ind w:firstLine="470" w:firstLineChars="196"/>
              <w:jc w:val="left"/>
              <w:outlineLvl w:val="1"/>
              <w:rPr>
                <w:rFonts w:hint="eastAsia" w:ascii="宋体"/>
                <w:sz w:val="24"/>
                <w:highlight w:val="none"/>
              </w:rPr>
            </w:pPr>
          </w:p>
        </w:tc>
        <w:tc>
          <w:tcPr>
            <w:tcW w:w="4852" w:type="dxa"/>
            <w:noWrap w:val="0"/>
            <w:vAlign w:val="top"/>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noWrap w:val="0"/>
            <w:vAlign w:val="top"/>
          </w:tcPr>
          <w:p>
            <w:pPr>
              <w:widowControl/>
              <w:spacing w:line="360" w:lineRule="atLeast"/>
              <w:ind w:firstLine="470" w:firstLineChars="196"/>
              <w:jc w:val="left"/>
              <w:outlineLvl w:val="1"/>
              <w:rPr>
                <w:rFonts w:hint="eastAsia" w:ascii="宋体"/>
                <w:sz w:val="24"/>
                <w:highlight w:val="none"/>
              </w:rPr>
            </w:pPr>
          </w:p>
        </w:tc>
        <w:tc>
          <w:tcPr>
            <w:tcW w:w="956" w:type="dxa"/>
            <w:noWrap w:val="0"/>
            <w:vAlign w:val="top"/>
          </w:tcPr>
          <w:p>
            <w:pPr>
              <w:widowControl/>
              <w:spacing w:line="360" w:lineRule="atLeast"/>
              <w:ind w:firstLine="470" w:firstLineChars="196"/>
              <w:jc w:val="left"/>
              <w:outlineLvl w:val="1"/>
              <w:rPr>
                <w:rFonts w:hint="eastAsia" w:ascii="宋体"/>
                <w:sz w:val="24"/>
                <w:highlight w:val="none"/>
              </w:rPr>
            </w:pPr>
          </w:p>
        </w:tc>
        <w:tc>
          <w:tcPr>
            <w:tcW w:w="1516" w:type="dxa"/>
            <w:noWrap w:val="0"/>
            <w:vAlign w:val="top"/>
          </w:tcPr>
          <w:p>
            <w:pPr>
              <w:widowControl/>
              <w:spacing w:line="360" w:lineRule="atLeast"/>
              <w:ind w:firstLine="470" w:firstLineChars="196"/>
              <w:jc w:val="left"/>
              <w:outlineLvl w:val="1"/>
              <w:rPr>
                <w:rFonts w:hint="eastAsia" w:ascii="宋体"/>
                <w:sz w:val="24"/>
                <w:highlight w:val="none"/>
              </w:rPr>
            </w:pPr>
          </w:p>
        </w:tc>
        <w:tc>
          <w:tcPr>
            <w:tcW w:w="4852" w:type="dxa"/>
            <w:noWrap w:val="0"/>
            <w:vAlign w:val="top"/>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noWrap w:val="0"/>
            <w:vAlign w:val="top"/>
          </w:tcPr>
          <w:p>
            <w:pPr>
              <w:widowControl/>
              <w:spacing w:line="360" w:lineRule="atLeast"/>
              <w:ind w:firstLine="470" w:firstLineChars="196"/>
              <w:jc w:val="left"/>
              <w:outlineLvl w:val="1"/>
              <w:rPr>
                <w:rFonts w:hint="eastAsia" w:ascii="宋体"/>
                <w:sz w:val="24"/>
                <w:highlight w:val="none"/>
              </w:rPr>
            </w:pPr>
          </w:p>
        </w:tc>
        <w:tc>
          <w:tcPr>
            <w:tcW w:w="956" w:type="dxa"/>
            <w:noWrap w:val="0"/>
            <w:vAlign w:val="top"/>
          </w:tcPr>
          <w:p>
            <w:pPr>
              <w:widowControl/>
              <w:spacing w:line="360" w:lineRule="atLeast"/>
              <w:ind w:firstLine="470" w:firstLineChars="196"/>
              <w:jc w:val="left"/>
              <w:outlineLvl w:val="1"/>
              <w:rPr>
                <w:rFonts w:hint="eastAsia" w:ascii="宋体"/>
                <w:sz w:val="24"/>
                <w:highlight w:val="none"/>
              </w:rPr>
            </w:pPr>
          </w:p>
        </w:tc>
        <w:tc>
          <w:tcPr>
            <w:tcW w:w="1516" w:type="dxa"/>
            <w:noWrap w:val="0"/>
            <w:vAlign w:val="top"/>
          </w:tcPr>
          <w:p>
            <w:pPr>
              <w:widowControl/>
              <w:spacing w:line="360" w:lineRule="atLeast"/>
              <w:ind w:firstLine="470" w:firstLineChars="196"/>
              <w:jc w:val="left"/>
              <w:outlineLvl w:val="1"/>
              <w:rPr>
                <w:rFonts w:hint="eastAsia" w:ascii="宋体"/>
                <w:sz w:val="24"/>
                <w:highlight w:val="none"/>
              </w:rPr>
            </w:pPr>
          </w:p>
        </w:tc>
        <w:tc>
          <w:tcPr>
            <w:tcW w:w="4852" w:type="dxa"/>
            <w:noWrap w:val="0"/>
            <w:vAlign w:val="top"/>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noWrap w:val="0"/>
            <w:vAlign w:val="top"/>
          </w:tcPr>
          <w:p>
            <w:pPr>
              <w:widowControl/>
              <w:spacing w:line="360" w:lineRule="atLeast"/>
              <w:ind w:firstLine="470" w:firstLineChars="196"/>
              <w:jc w:val="left"/>
              <w:outlineLvl w:val="1"/>
              <w:rPr>
                <w:rFonts w:hint="eastAsia" w:ascii="宋体"/>
                <w:sz w:val="24"/>
                <w:highlight w:val="none"/>
              </w:rPr>
            </w:pPr>
          </w:p>
        </w:tc>
        <w:tc>
          <w:tcPr>
            <w:tcW w:w="956" w:type="dxa"/>
            <w:noWrap w:val="0"/>
            <w:vAlign w:val="top"/>
          </w:tcPr>
          <w:p>
            <w:pPr>
              <w:widowControl/>
              <w:spacing w:line="360" w:lineRule="atLeast"/>
              <w:ind w:firstLine="470" w:firstLineChars="196"/>
              <w:jc w:val="left"/>
              <w:outlineLvl w:val="1"/>
              <w:rPr>
                <w:rFonts w:hint="eastAsia" w:ascii="宋体"/>
                <w:sz w:val="24"/>
                <w:highlight w:val="none"/>
              </w:rPr>
            </w:pPr>
          </w:p>
        </w:tc>
        <w:tc>
          <w:tcPr>
            <w:tcW w:w="1516" w:type="dxa"/>
            <w:noWrap w:val="0"/>
            <w:vAlign w:val="top"/>
          </w:tcPr>
          <w:p>
            <w:pPr>
              <w:widowControl/>
              <w:spacing w:line="360" w:lineRule="atLeast"/>
              <w:ind w:firstLine="470" w:firstLineChars="196"/>
              <w:jc w:val="left"/>
              <w:outlineLvl w:val="1"/>
              <w:rPr>
                <w:rFonts w:hint="eastAsia" w:ascii="宋体"/>
                <w:sz w:val="24"/>
                <w:highlight w:val="none"/>
              </w:rPr>
            </w:pPr>
          </w:p>
        </w:tc>
        <w:tc>
          <w:tcPr>
            <w:tcW w:w="4852" w:type="dxa"/>
            <w:noWrap w:val="0"/>
            <w:vAlign w:val="top"/>
          </w:tcPr>
          <w:p>
            <w:pPr>
              <w:widowControl/>
              <w:spacing w:line="360" w:lineRule="atLeast"/>
              <w:ind w:firstLine="470" w:firstLineChars="196"/>
              <w:jc w:val="left"/>
              <w:outlineLvl w:val="1"/>
              <w:rPr>
                <w:rFonts w:hint="eastAsia" w:ascii="宋体"/>
                <w:sz w:val="24"/>
                <w:highlight w:val="none"/>
              </w:rPr>
            </w:pPr>
          </w:p>
        </w:tc>
      </w:tr>
    </w:tbl>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注：1. 供应商必须把比选文件</w:t>
      </w:r>
      <w:r>
        <w:rPr>
          <w:rFonts w:hint="eastAsia" w:ascii="宋体"/>
          <w:b/>
          <w:bCs/>
          <w:sz w:val="24"/>
          <w:highlight w:val="none"/>
        </w:rPr>
        <w:t>第五章全部商务要求</w:t>
      </w:r>
      <w:r>
        <w:rPr>
          <w:rFonts w:hint="eastAsia" w:ascii="宋体"/>
          <w:sz w:val="24"/>
          <w:highlight w:val="none"/>
        </w:rPr>
        <w:t>列入此表。</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2．按照比选项目商务要求的顺序逐条对应填写。</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3．供应商必须据实填写，不得虚假填写，否则将取消其比选或中标资格。</w:t>
      </w:r>
    </w:p>
    <w:p>
      <w:pPr>
        <w:widowControl/>
        <w:spacing w:line="360" w:lineRule="atLeast"/>
        <w:ind w:firstLine="470" w:firstLineChars="196"/>
        <w:jc w:val="left"/>
        <w:outlineLvl w:val="1"/>
        <w:rPr>
          <w:rFonts w:hint="eastAsia" w:ascii="宋体"/>
          <w:sz w:val="24"/>
          <w:highlight w:val="none"/>
        </w:rPr>
      </w:pP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供应商名称：XXXX（单位盖章）。</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法定代表人/单位负责人或授权代表（签字或加盖个人名章）：XXXX。</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比选日期: XXXX。</w:t>
      </w:r>
    </w:p>
    <w:p>
      <w:pPr>
        <w:widowControl/>
        <w:spacing w:line="360" w:lineRule="atLeast"/>
        <w:ind w:firstLine="470" w:firstLineChars="196"/>
        <w:jc w:val="left"/>
        <w:outlineLvl w:val="1"/>
        <w:rPr>
          <w:rFonts w:hint="eastAsia" w:ascii="宋体"/>
          <w:sz w:val="24"/>
          <w:highlight w:val="none"/>
        </w:rPr>
      </w:pPr>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2" w:firstLineChars="196"/>
        <w:jc w:val="left"/>
        <w:outlineLvl w:val="1"/>
        <w:rPr>
          <w:rFonts w:hint="eastAsia" w:ascii="宋体"/>
          <w:b/>
          <w:sz w:val="24"/>
          <w:highlight w:val="none"/>
        </w:rPr>
      </w:pPr>
      <w:bookmarkStart w:id="120" w:name="_Toc217446088"/>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2" w:firstLineChars="196"/>
        <w:jc w:val="left"/>
        <w:outlineLvl w:val="1"/>
        <w:rPr>
          <w:rFonts w:hint="eastAsia" w:ascii="宋体"/>
          <w:b/>
          <w:sz w:val="24"/>
          <w:highlight w:val="none"/>
        </w:rPr>
      </w:pPr>
    </w:p>
    <w:p>
      <w:pPr>
        <w:widowControl/>
        <w:spacing w:line="360" w:lineRule="atLeast"/>
        <w:jc w:val="center"/>
        <w:outlineLvl w:val="1"/>
        <w:rPr>
          <w:rFonts w:hint="eastAsia" w:ascii="黑体" w:eastAsia="黑体"/>
          <w:b/>
          <w:sz w:val="32"/>
          <w:szCs w:val="32"/>
          <w:highlight w:val="none"/>
        </w:rPr>
      </w:pPr>
      <w:r>
        <w:rPr>
          <w:rFonts w:hint="eastAsia" w:ascii="黑体" w:eastAsia="黑体"/>
          <w:b/>
          <w:sz w:val="32"/>
          <w:szCs w:val="32"/>
          <w:highlight w:val="none"/>
        </w:rPr>
        <w:t>七、供应商基本情况表</w:t>
      </w:r>
      <w:bookmarkEnd w:id="120"/>
    </w:p>
    <w:p>
      <w:pPr>
        <w:widowControl/>
        <w:spacing w:line="360" w:lineRule="atLeast"/>
        <w:ind w:firstLine="472" w:firstLineChars="196"/>
        <w:jc w:val="left"/>
        <w:outlineLvl w:val="1"/>
        <w:rPr>
          <w:rFonts w:hint="eastAsia" w:ascii="宋体"/>
          <w:b/>
          <w:sz w:val="24"/>
          <w:highlight w:val="none"/>
        </w:rPr>
      </w:pPr>
    </w:p>
    <w:tbl>
      <w:tblPr>
        <w:tblStyle w:val="25"/>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供应商名称</w:t>
            </w:r>
          </w:p>
        </w:tc>
        <w:tc>
          <w:tcPr>
            <w:tcW w:w="6693" w:type="dxa"/>
            <w:gridSpan w:val="7"/>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62" w:hRule="atLeast"/>
        </w:trPr>
        <w:tc>
          <w:tcPr>
            <w:tcW w:w="1522"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注册地址</w:t>
            </w:r>
          </w:p>
        </w:tc>
        <w:tc>
          <w:tcPr>
            <w:tcW w:w="3443" w:type="dxa"/>
            <w:gridSpan w:val="3"/>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邮政编码</w:t>
            </w:r>
          </w:p>
        </w:tc>
        <w:tc>
          <w:tcPr>
            <w:tcW w:w="1930" w:type="dxa"/>
            <w:gridSpan w:val="3"/>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联系方式</w:t>
            </w:r>
          </w:p>
        </w:tc>
        <w:tc>
          <w:tcPr>
            <w:tcW w:w="957"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联系人</w:t>
            </w:r>
          </w:p>
        </w:tc>
        <w:tc>
          <w:tcPr>
            <w:tcW w:w="2486" w:type="dxa"/>
            <w:gridSpan w:val="2"/>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noWrap w:val="0"/>
            <w:vAlign w:val="center"/>
          </w:tcPr>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电话</w:t>
            </w:r>
          </w:p>
        </w:tc>
        <w:tc>
          <w:tcPr>
            <w:tcW w:w="1930" w:type="dxa"/>
            <w:gridSpan w:val="3"/>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noWrap w:val="0"/>
            <w:vAlign w:val="center"/>
          </w:tcPr>
          <w:p>
            <w:pPr>
              <w:rPr>
                <w:highlight w:val="none"/>
              </w:rPr>
            </w:pPr>
          </w:p>
        </w:tc>
        <w:tc>
          <w:tcPr>
            <w:tcW w:w="957"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传真</w:t>
            </w:r>
          </w:p>
        </w:tc>
        <w:tc>
          <w:tcPr>
            <w:tcW w:w="2486" w:type="dxa"/>
            <w:gridSpan w:val="2"/>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noWrap w:val="0"/>
            <w:vAlign w:val="center"/>
          </w:tcPr>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网址</w:t>
            </w:r>
          </w:p>
        </w:tc>
        <w:tc>
          <w:tcPr>
            <w:tcW w:w="1930" w:type="dxa"/>
            <w:gridSpan w:val="3"/>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42" w:hRule="atLeast"/>
        </w:trPr>
        <w:tc>
          <w:tcPr>
            <w:tcW w:w="1522"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组织结构</w:t>
            </w:r>
          </w:p>
        </w:tc>
        <w:tc>
          <w:tcPr>
            <w:tcW w:w="6693" w:type="dxa"/>
            <w:gridSpan w:val="7"/>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法定代表人/单位负责人</w:t>
            </w:r>
          </w:p>
        </w:tc>
        <w:tc>
          <w:tcPr>
            <w:tcW w:w="957"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姓名</w:t>
            </w:r>
          </w:p>
        </w:tc>
        <w:tc>
          <w:tcPr>
            <w:tcW w:w="1239"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47"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技术职称</w:t>
            </w:r>
          </w:p>
        </w:tc>
        <w:tc>
          <w:tcPr>
            <w:tcW w:w="13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850" w:type="dxa"/>
            <w:gridSpan w:val="2"/>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电话</w:t>
            </w:r>
          </w:p>
        </w:tc>
        <w:tc>
          <w:tcPr>
            <w:tcW w:w="1080" w:type="dxa"/>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442" w:hRule="atLeast"/>
        </w:trPr>
        <w:tc>
          <w:tcPr>
            <w:tcW w:w="1522"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技术负责人</w:t>
            </w:r>
          </w:p>
        </w:tc>
        <w:tc>
          <w:tcPr>
            <w:tcW w:w="957"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姓名</w:t>
            </w:r>
          </w:p>
        </w:tc>
        <w:tc>
          <w:tcPr>
            <w:tcW w:w="1239"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47"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技术职称</w:t>
            </w:r>
          </w:p>
        </w:tc>
        <w:tc>
          <w:tcPr>
            <w:tcW w:w="13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850" w:type="dxa"/>
            <w:gridSpan w:val="2"/>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电话</w:t>
            </w:r>
          </w:p>
        </w:tc>
        <w:tc>
          <w:tcPr>
            <w:tcW w:w="1080" w:type="dxa"/>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成立时间</w:t>
            </w:r>
          </w:p>
        </w:tc>
        <w:tc>
          <w:tcPr>
            <w:tcW w:w="2196" w:type="dxa"/>
            <w:gridSpan w:val="2"/>
            <w:noWrap w:val="0"/>
            <w:vAlign w:val="center"/>
          </w:tcPr>
          <w:p>
            <w:pPr>
              <w:widowControl/>
              <w:spacing w:line="360" w:lineRule="atLeast"/>
              <w:ind w:firstLine="470" w:firstLineChars="196"/>
              <w:jc w:val="left"/>
              <w:outlineLvl w:val="1"/>
              <w:rPr>
                <w:rFonts w:hint="eastAsia" w:ascii="宋体"/>
                <w:sz w:val="24"/>
                <w:highlight w:val="none"/>
              </w:rPr>
            </w:pPr>
          </w:p>
        </w:tc>
        <w:tc>
          <w:tcPr>
            <w:tcW w:w="4497" w:type="dxa"/>
            <w:gridSpan w:val="5"/>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62" w:hRule="atLeast"/>
        </w:trPr>
        <w:tc>
          <w:tcPr>
            <w:tcW w:w="1522"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企业资质等级</w:t>
            </w:r>
          </w:p>
        </w:tc>
        <w:tc>
          <w:tcPr>
            <w:tcW w:w="2196" w:type="dxa"/>
            <w:gridSpan w:val="2"/>
            <w:noWrap w:val="0"/>
            <w:vAlign w:val="center"/>
          </w:tcPr>
          <w:p>
            <w:pPr>
              <w:widowControl/>
              <w:spacing w:line="360" w:lineRule="atLeast"/>
              <w:ind w:firstLine="470" w:firstLineChars="196"/>
              <w:jc w:val="left"/>
              <w:outlineLvl w:val="1"/>
              <w:rPr>
                <w:rFonts w:hint="eastAsia" w:ascii="宋体"/>
                <w:sz w:val="24"/>
                <w:highlight w:val="none"/>
              </w:rPr>
            </w:pPr>
          </w:p>
        </w:tc>
        <w:tc>
          <w:tcPr>
            <w:tcW w:w="1247" w:type="dxa"/>
            <w:vMerge w:val="restart"/>
            <w:noWrap w:val="0"/>
            <w:vAlign w:val="center"/>
          </w:tcPr>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其中</w:t>
            </w:r>
          </w:p>
        </w:tc>
        <w:tc>
          <w:tcPr>
            <w:tcW w:w="1478" w:type="dxa"/>
            <w:gridSpan w:val="2"/>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项目经理</w:t>
            </w:r>
          </w:p>
        </w:tc>
        <w:tc>
          <w:tcPr>
            <w:tcW w:w="1772" w:type="dxa"/>
            <w:gridSpan w:val="2"/>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营业执照号</w:t>
            </w:r>
          </w:p>
        </w:tc>
        <w:tc>
          <w:tcPr>
            <w:tcW w:w="2196" w:type="dxa"/>
            <w:gridSpan w:val="2"/>
            <w:noWrap w:val="0"/>
            <w:vAlign w:val="center"/>
          </w:tcPr>
          <w:p>
            <w:pPr>
              <w:widowControl/>
              <w:spacing w:line="360" w:lineRule="atLeast"/>
              <w:ind w:firstLine="470" w:firstLineChars="196"/>
              <w:jc w:val="left"/>
              <w:outlineLvl w:val="1"/>
              <w:rPr>
                <w:rFonts w:hint="eastAsia" w:ascii="宋体"/>
                <w:sz w:val="24"/>
                <w:highlight w:val="none"/>
              </w:rPr>
            </w:pPr>
          </w:p>
        </w:tc>
        <w:tc>
          <w:tcPr>
            <w:tcW w:w="1247" w:type="dxa"/>
            <w:vMerge w:val="continue"/>
            <w:noWrap w:val="0"/>
            <w:vAlign w:val="center"/>
          </w:tcPr>
          <w:p>
            <w:pPr>
              <w:rPr>
                <w:highlight w:val="none"/>
              </w:rPr>
            </w:pPr>
          </w:p>
        </w:tc>
        <w:tc>
          <w:tcPr>
            <w:tcW w:w="1478" w:type="dxa"/>
            <w:gridSpan w:val="2"/>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高级职称人员</w:t>
            </w:r>
          </w:p>
        </w:tc>
        <w:tc>
          <w:tcPr>
            <w:tcW w:w="1772" w:type="dxa"/>
            <w:gridSpan w:val="2"/>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42" w:hRule="atLeast"/>
        </w:trPr>
        <w:tc>
          <w:tcPr>
            <w:tcW w:w="1522"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注册资金</w:t>
            </w:r>
          </w:p>
        </w:tc>
        <w:tc>
          <w:tcPr>
            <w:tcW w:w="2196" w:type="dxa"/>
            <w:gridSpan w:val="2"/>
            <w:noWrap w:val="0"/>
            <w:vAlign w:val="center"/>
          </w:tcPr>
          <w:p>
            <w:pPr>
              <w:widowControl/>
              <w:spacing w:line="360" w:lineRule="atLeast"/>
              <w:ind w:firstLine="470" w:firstLineChars="196"/>
              <w:jc w:val="left"/>
              <w:outlineLvl w:val="1"/>
              <w:rPr>
                <w:rFonts w:hint="eastAsia" w:ascii="宋体"/>
                <w:sz w:val="24"/>
                <w:highlight w:val="none"/>
              </w:rPr>
            </w:pPr>
          </w:p>
        </w:tc>
        <w:tc>
          <w:tcPr>
            <w:tcW w:w="1247" w:type="dxa"/>
            <w:vMerge w:val="continue"/>
            <w:noWrap w:val="0"/>
            <w:vAlign w:val="center"/>
          </w:tcPr>
          <w:p>
            <w:pPr>
              <w:rPr>
                <w:highlight w:val="none"/>
              </w:rPr>
            </w:pPr>
          </w:p>
        </w:tc>
        <w:tc>
          <w:tcPr>
            <w:tcW w:w="1478" w:type="dxa"/>
            <w:gridSpan w:val="2"/>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中级职称人员</w:t>
            </w:r>
          </w:p>
        </w:tc>
        <w:tc>
          <w:tcPr>
            <w:tcW w:w="1772" w:type="dxa"/>
            <w:gridSpan w:val="2"/>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开户银行</w:t>
            </w:r>
          </w:p>
        </w:tc>
        <w:tc>
          <w:tcPr>
            <w:tcW w:w="2196" w:type="dxa"/>
            <w:gridSpan w:val="2"/>
            <w:noWrap w:val="0"/>
            <w:vAlign w:val="center"/>
          </w:tcPr>
          <w:p>
            <w:pPr>
              <w:widowControl/>
              <w:spacing w:line="360" w:lineRule="atLeast"/>
              <w:ind w:firstLine="470" w:firstLineChars="196"/>
              <w:jc w:val="left"/>
              <w:outlineLvl w:val="1"/>
              <w:rPr>
                <w:rFonts w:hint="eastAsia" w:ascii="宋体"/>
                <w:sz w:val="24"/>
                <w:highlight w:val="none"/>
              </w:rPr>
            </w:pPr>
          </w:p>
        </w:tc>
        <w:tc>
          <w:tcPr>
            <w:tcW w:w="1247" w:type="dxa"/>
            <w:vMerge w:val="continue"/>
            <w:noWrap w:val="0"/>
            <w:vAlign w:val="center"/>
          </w:tcPr>
          <w:p>
            <w:pPr>
              <w:rPr>
                <w:highlight w:val="none"/>
              </w:rPr>
            </w:pPr>
          </w:p>
        </w:tc>
        <w:tc>
          <w:tcPr>
            <w:tcW w:w="1478" w:type="dxa"/>
            <w:gridSpan w:val="2"/>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初级职称人员</w:t>
            </w:r>
          </w:p>
        </w:tc>
        <w:tc>
          <w:tcPr>
            <w:tcW w:w="1772" w:type="dxa"/>
            <w:gridSpan w:val="2"/>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42" w:hRule="atLeast"/>
        </w:trPr>
        <w:tc>
          <w:tcPr>
            <w:tcW w:w="1522" w:type="dxa"/>
            <w:noWrap w:val="0"/>
            <w:vAlign w:val="center"/>
          </w:tcPr>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账号</w:t>
            </w:r>
          </w:p>
        </w:tc>
        <w:tc>
          <w:tcPr>
            <w:tcW w:w="2196" w:type="dxa"/>
            <w:gridSpan w:val="2"/>
            <w:noWrap w:val="0"/>
            <w:vAlign w:val="center"/>
          </w:tcPr>
          <w:p>
            <w:pPr>
              <w:widowControl/>
              <w:spacing w:line="360" w:lineRule="atLeast"/>
              <w:ind w:firstLine="470" w:firstLineChars="196"/>
              <w:jc w:val="left"/>
              <w:outlineLvl w:val="1"/>
              <w:rPr>
                <w:rFonts w:hint="eastAsia" w:ascii="宋体"/>
                <w:sz w:val="24"/>
                <w:highlight w:val="none"/>
              </w:rPr>
            </w:pPr>
          </w:p>
        </w:tc>
        <w:tc>
          <w:tcPr>
            <w:tcW w:w="1247" w:type="dxa"/>
            <w:vMerge w:val="continue"/>
            <w:noWrap w:val="0"/>
            <w:vAlign w:val="center"/>
          </w:tcPr>
          <w:p>
            <w:pPr>
              <w:rPr>
                <w:highlight w:val="none"/>
              </w:rPr>
            </w:pPr>
          </w:p>
        </w:tc>
        <w:tc>
          <w:tcPr>
            <w:tcW w:w="1478" w:type="dxa"/>
            <w:gridSpan w:val="2"/>
            <w:noWrap w:val="0"/>
            <w:vAlign w:val="center"/>
          </w:tcPr>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技工</w:t>
            </w:r>
          </w:p>
        </w:tc>
        <w:tc>
          <w:tcPr>
            <w:tcW w:w="1772" w:type="dxa"/>
            <w:gridSpan w:val="2"/>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经营范围</w:t>
            </w:r>
          </w:p>
        </w:tc>
        <w:tc>
          <w:tcPr>
            <w:tcW w:w="6693" w:type="dxa"/>
            <w:gridSpan w:val="7"/>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1072" w:hRule="atLeast"/>
        </w:trPr>
        <w:tc>
          <w:tcPr>
            <w:tcW w:w="1522" w:type="dxa"/>
            <w:noWrap w:val="0"/>
            <w:vAlign w:val="top"/>
          </w:tcPr>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备注</w:t>
            </w:r>
          </w:p>
        </w:tc>
        <w:tc>
          <w:tcPr>
            <w:tcW w:w="6693" w:type="dxa"/>
            <w:gridSpan w:val="7"/>
            <w:noWrap w:val="0"/>
            <w:vAlign w:val="top"/>
          </w:tcPr>
          <w:p>
            <w:pPr>
              <w:widowControl/>
              <w:spacing w:line="360" w:lineRule="atLeast"/>
              <w:ind w:firstLine="470" w:firstLineChars="196"/>
              <w:jc w:val="left"/>
              <w:outlineLvl w:val="1"/>
              <w:rPr>
                <w:rFonts w:hint="eastAsia" w:ascii="宋体"/>
                <w:sz w:val="24"/>
                <w:highlight w:val="none"/>
              </w:rPr>
            </w:pPr>
          </w:p>
        </w:tc>
      </w:tr>
    </w:tbl>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供应商名称：XXXX（单位盖章）。</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法定代表人/单位负责人或授权代表（签字或加盖个人名章）：XXXX。</w:t>
      </w:r>
    </w:p>
    <w:p>
      <w:pPr>
        <w:widowControl/>
        <w:spacing w:line="360" w:lineRule="atLeast"/>
        <w:ind w:firstLine="470" w:firstLineChars="196"/>
        <w:jc w:val="left"/>
        <w:outlineLvl w:val="1"/>
        <w:rPr>
          <w:rFonts w:hint="eastAsia" w:ascii="宋体"/>
          <w:b/>
          <w:sz w:val="24"/>
          <w:highlight w:val="none"/>
        </w:rPr>
      </w:pPr>
      <w:r>
        <w:rPr>
          <w:rFonts w:hint="eastAsia" w:ascii="宋体"/>
          <w:sz w:val="24"/>
          <w:highlight w:val="none"/>
        </w:rPr>
        <w:t>比选日期: XXXX。</w:t>
      </w:r>
      <w:bookmarkStart w:id="121" w:name="_Toc217446089"/>
    </w:p>
    <w:p>
      <w:pPr>
        <w:widowControl/>
        <w:spacing w:line="360" w:lineRule="atLeast"/>
        <w:jc w:val="center"/>
        <w:outlineLvl w:val="1"/>
        <w:rPr>
          <w:rFonts w:hint="eastAsia" w:ascii="黑体" w:eastAsia="黑体"/>
          <w:b/>
          <w:sz w:val="32"/>
          <w:szCs w:val="32"/>
          <w:highlight w:val="none"/>
        </w:rPr>
      </w:pPr>
      <w:r>
        <w:rPr>
          <w:rFonts w:hint="eastAsia" w:ascii="黑体" w:eastAsia="黑体"/>
          <w:b/>
          <w:sz w:val="32"/>
          <w:szCs w:val="32"/>
          <w:highlight w:val="none"/>
        </w:rPr>
        <w:t>八、类似项目业绩一览表</w:t>
      </w:r>
      <w:bookmarkEnd w:id="121"/>
    </w:p>
    <w:p>
      <w:pPr>
        <w:widowControl/>
        <w:spacing w:line="360" w:lineRule="atLeast"/>
        <w:ind w:firstLine="472" w:firstLineChars="196"/>
        <w:jc w:val="left"/>
        <w:outlineLvl w:val="1"/>
        <w:rPr>
          <w:rFonts w:hint="eastAsia" w:ascii="宋体"/>
          <w:b/>
          <w:sz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7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年份</w:t>
            </w:r>
          </w:p>
        </w:tc>
        <w:tc>
          <w:tcPr>
            <w:tcW w:w="1440"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用户名称</w:t>
            </w:r>
          </w:p>
        </w:tc>
        <w:tc>
          <w:tcPr>
            <w:tcW w:w="1320"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项目名称</w:t>
            </w:r>
          </w:p>
        </w:tc>
        <w:tc>
          <w:tcPr>
            <w:tcW w:w="1161"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完成时间</w:t>
            </w:r>
          </w:p>
        </w:tc>
        <w:tc>
          <w:tcPr>
            <w:tcW w:w="1260"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合同金额</w:t>
            </w:r>
          </w:p>
        </w:tc>
        <w:tc>
          <w:tcPr>
            <w:tcW w:w="1374" w:type="dxa"/>
            <w:gridSpan w:val="3"/>
            <w:tcBorders>
              <w:right w:val="single" w:color="auto" w:sz="4" w:space="0"/>
            </w:tcBorders>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是否通过验收</w:t>
            </w:r>
          </w:p>
        </w:tc>
        <w:tc>
          <w:tcPr>
            <w:tcW w:w="782" w:type="dxa"/>
            <w:tcBorders>
              <w:left w:val="single" w:color="auto" w:sz="4" w:space="0"/>
            </w:tcBorders>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44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374" w:type="dxa"/>
            <w:gridSpan w:val="3"/>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782"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44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374" w:type="dxa"/>
            <w:gridSpan w:val="3"/>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782"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44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374" w:type="dxa"/>
            <w:gridSpan w:val="3"/>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782"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440" w:type="dxa"/>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374" w:type="dxa"/>
            <w:gridSpan w:val="3"/>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782"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20" w:type="dxa"/>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440"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269" w:type="dxa"/>
            <w:gridSpan w:val="2"/>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65" w:type="dxa"/>
            <w:gridSpan w:val="2"/>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782"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44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9" w:type="dxa"/>
            <w:gridSpan w:val="2"/>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56"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791" w:type="dxa"/>
            <w:gridSpan w:val="2"/>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44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9" w:type="dxa"/>
            <w:gridSpan w:val="2"/>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56"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791" w:type="dxa"/>
            <w:gridSpan w:val="2"/>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44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9" w:type="dxa"/>
            <w:gridSpan w:val="2"/>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56"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791" w:type="dxa"/>
            <w:gridSpan w:val="2"/>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10" w:hRule="atLeast"/>
          <w:jc w:val="center"/>
        </w:trPr>
        <w:tc>
          <w:tcPr>
            <w:tcW w:w="720" w:type="dxa"/>
            <w:tcBorders>
              <w:bottom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440" w:type="dxa"/>
            <w:tcBorders>
              <w:bottom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tcBorders>
              <w:bottom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tcBorders>
              <w:bottom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269" w:type="dxa"/>
            <w:gridSpan w:val="2"/>
            <w:tcBorders>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56" w:type="dxa"/>
            <w:tcBorders>
              <w:left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791" w:type="dxa"/>
            <w:gridSpan w:val="2"/>
            <w:tcBorders>
              <w:left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44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269" w:type="dxa"/>
            <w:gridSpan w:val="2"/>
            <w:tcBorders>
              <w:top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791" w:type="dxa"/>
            <w:gridSpan w:val="2"/>
            <w:tcBorders>
              <w:top w:val="single" w:color="auto" w:sz="4" w:space="0"/>
              <w:left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15" w:hRule="atLeast"/>
          <w:jc w:val="center"/>
        </w:trPr>
        <w:tc>
          <w:tcPr>
            <w:tcW w:w="7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44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269" w:type="dxa"/>
            <w:gridSpan w:val="2"/>
            <w:tcBorders>
              <w:top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791" w:type="dxa"/>
            <w:gridSpan w:val="2"/>
            <w:tcBorders>
              <w:top w:val="single" w:color="auto" w:sz="4" w:space="0"/>
              <w:left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44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269" w:type="dxa"/>
            <w:gridSpan w:val="2"/>
            <w:tcBorders>
              <w:top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791" w:type="dxa"/>
            <w:gridSpan w:val="2"/>
            <w:tcBorders>
              <w:top w:val="single" w:color="auto" w:sz="4" w:space="0"/>
              <w:left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35" w:hRule="atLeast"/>
          <w:jc w:val="center"/>
        </w:trPr>
        <w:tc>
          <w:tcPr>
            <w:tcW w:w="720" w:type="dxa"/>
            <w:tcBorders>
              <w:top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440" w:type="dxa"/>
            <w:tcBorders>
              <w:top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tcBorders>
              <w:top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tcBorders>
              <w:top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269" w:type="dxa"/>
            <w:gridSpan w:val="2"/>
            <w:tcBorders>
              <w:top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56" w:type="dxa"/>
            <w:tcBorders>
              <w:top w:val="single" w:color="auto" w:sz="4" w:space="0"/>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791" w:type="dxa"/>
            <w:gridSpan w:val="2"/>
            <w:tcBorders>
              <w:top w:val="single" w:color="auto" w:sz="4" w:space="0"/>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bl>
    <w:p>
      <w:pPr>
        <w:widowControl/>
        <w:spacing w:line="360" w:lineRule="atLeast"/>
        <w:ind w:firstLine="470" w:firstLineChars="196"/>
        <w:jc w:val="left"/>
        <w:outlineLvl w:val="1"/>
        <w:rPr>
          <w:rFonts w:hint="eastAsia" w:ascii="宋体"/>
          <w:sz w:val="24"/>
          <w:highlight w:val="none"/>
        </w:rPr>
      </w:pP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注：以上业绩需提供比选文件要求的有关书面证明材料。</w:t>
      </w:r>
    </w:p>
    <w:p>
      <w:pPr>
        <w:widowControl/>
        <w:spacing w:line="360" w:lineRule="atLeast"/>
        <w:ind w:firstLine="470" w:firstLineChars="196"/>
        <w:jc w:val="left"/>
        <w:outlineLvl w:val="1"/>
        <w:rPr>
          <w:rFonts w:hint="eastAsia" w:ascii="宋体"/>
          <w:sz w:val="24"/>
          <w:highlight w:val="none"/>
        </w:rPr>
      </w:pPr>
    </w:p>
    <w:p>
      <w:pPr>
        <w:widowControl/>
        <w:spacing w:line="360" w:lineRule="atLeast"/>
        <w:ind w:firstLine="470" w:firstLineChars="196"/>
        <w:jc w:val="left"/>
        <w:outlineLvl w:val="1"/>
        <w:rPr>
          <w:rFonts w:hint="eastAsia" w:ascii="宋体"/>
          <w:sz w:val="24"/>
          <w:highlight w:val="none"/>
        </w:rPr>
      </w:pP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供应商名称：XXXX（单位盖章）。</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法定代表人/单位负责人或授权代表（签字或加盖个人名章）：XXXX。</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比选日期: XXXX。</w:t>
      </w:r>
    </w:p>
    <w:p>
      <w:pPr>
        <w:widowControl/>
        <w:spacing w:line="360" w:lineRule="atLeast"/>
        <w:jc w:val="left"/>
        <w:outlineLvl w:val="1"/>
        <w:rPr>
          <w:rFonts w:hint="eastAsia" w:ascii="宋体"/>
          <w:b/>
          <w:sz w:val="24"/>
          <w:highlight w:val="none"/>
        </w:rPr>
      </w:pPr>
      <w:bookmarkStart w:id="122" w:name="_Toc217446090"/>
    </w:p>
    <w:p>
      <w:pPr>
        <w:widowControl/>
        <w:spacing w:line="360" w:lineRule="atLeast"/>
        <w:jc w:val="center"/>
        <w:outlineLvl w:val="1"/>
        <w:rPr>
          <w:rFonts w:hint="eastAsia" w:ascii="黑体" w:eastAsia="黑体"/>
          <w:b/>
          <w:sz w:val="32"/>
          <w:szCs w:val="32"/>
          <w:highlight w:val="none"/>
        </w:rPr>
      </w:pPr>
      <w:r>
        <w:rPr>
          <w:rFonts w:hint="eastAsia" w:ascii="黑体" w:eastAsia="黑体"/>
          <w:b/>
          <w:sz w:val="32"/>
          <w:szCs w:val="32"/>
          <w:highlight w:val="none"/>
        </w:rPr>
        <w:br w:type="page"/>
      </w:r>
      <w:r>
        <w:rPr>
          <w:rFonts w:hint="eastAsia" w:ascii="黑体" w:eastAsia="黑体"/>
          <w:b/>
          <w:sz w:val="32"/>
          <w:szCs w:val="32"/>
          <w:highlight w:val="none"/>
        </w:rPr>
        <w:t>九、服务应答表</w:t>
      </w:r>
      <w:bookmarkEnd w:id="122"/>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 xml:space="preserve">比选项目：                                </w:t>
      </w:r>
    </w:p>
    <w:tbl>
      <w:tblPr>
        <w:tblStyle w:val="25"/>
        <w:tblpPr w:leftFromText="180" w:rightFromText="180" w:vertAnchor="text" w:horzAnchor="page" w:tblpX="1952" w:tblpY="431"/>
        <w:tblOverlap w:val="never"/>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6"/>
        <w:gridCol w:w="1489"/>
        <w:gridCol w:w="2268"/>
        <w:gridCol w:w="2127"/>
        <w:gridCol w:w="17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56" w:type="dxa"/>
            <w:noWrap w:val="0"/>
            <w:vAlign w:val="center"/>
          </w:tcPr>
          <w:p>
            <w:pPr>
              <w:pStyle w:val="46"/>
              <w:rPr>
                <w:rFonts w:ascii="宋体" w:hAnsi="宋体"/>
                <w:b/>
                <w:color w:val="000000"/>
                <w:sz w:val="21"/>
                <w:szCs w:val="21"/>
                <w:highlight w:val="none"/>
              </w:rPr>
            </w:pPr>
            <w:r>
              <w:rPr>
                <w:rFonts w:ascii="宋体" w:hAnsi="宋体"/>
                <w:b/>
                <w:color w:val="000000"/>
                <w:sz w:val="21"/>
                <w:szCs w:val="21"/>
                <w:highlight w:val="none"/>
              </w:rPr>
              <w:t>序号</w:t>
            </w:r>
          </w:p>
        </w:tc>
        <w:tc>
          <w:tcPr>
            <w:tcW w:w="1489" w:type="dxa"/>
            <w:noWrap w:val="0"/>
            <w:vAlign w:val="center"/>
          </w:tcPr>
          <w:p>
            <w:pPr>
              <w:pStyle w:val="46"/>
              <w:jc w:val="center"/>
              <w:rPr>
                <w:rFonts w:ascii="宋体" w:hAnsi="宋体"/>
                <w:b/>
                <w:color w:val="000000"/>
                <w:sz w:val="21"/>
                <w:szCs w:val="21"/>
                <w:highlight w:val="none"/>
              </w:rPr>
            </w:pPr>
            <w:r>
              <w:rPr>
                <w:rFonts w:ascii="宋体" w:hAnsi="宋体"/>
                <w:b/>
                <w:color w:val="000000"/>
                <w:sz w:val="21"/>
                <w:szCs w:val="21"/>
                <w:highlight w:val="none"/>
              </w:rPr>
              <w:t>服务名称</w:t>
            </w:r>
          </w:p>
        </w:tc>
        <w:tc>
          <w:tcPr>
            <w:tcW w:w="2268" w:type="dxa"/>
            <w:noWrap w:val="0"/>
            <w:vAlign w:val="center"/>
          </w:tcPr>
          <w:p>
            <w:pPr>
              <w:pStyle w:val="46"/>
              <w:ind w:firstLine="421" w:firstLineChars="200"/>
              <w:rPr>
                <w:rFonts w:ascii="宋体" w:hAnsi="宋体"/>
                <w:b/>
                <w:color w:val="000000"/>
                <w:sz w:val="21"/>
                <w:szCs w:val="21"/>
                <w:highlight w:val="none"/>
              </w:rPr>
            </w:pPr>
            <w:r>
              <w:rPr>
                <w:rFonts w:hint="eastAsia" w:ascii="宋体" w:hAnsi="宋体"/>
                <w:b/>
                <w:color w:val="000000"/>
                <w:sz w:val="21"/>
                <w:szCs w:val="21"/>
                <w:highlight w:val="none"/>
              </w:rPr>
              <w:t>比选</w:t>
            </w:r>
            <w:r>
              <w:rPr>
                <w:rFonts w:ascii="宋体" w:hAnsi="宋体"/>
                <w:b/>
                <w:color w:val="000000"/>
                <w:sz w:val="21"/>
                <w:szCs w:val="21"/>
                <w:highlight w:val="none"/>
              </w:rPr>
              <w:t>服务要求</w:t>
            </w:r>
          </w:p>
        </w:tc>
        <w:tc>
          <w:tcPr>
            <w:tcW w:w="2127" w:type="dxa"/>
            <w:noWrap w:val="0"/>
            <w:vAlign w:val="center"/>
          </w:tcPr>
          <w:p>
            <w:pPr>
              <w:pStyle w:val="46"/>
              <w:jc w:val="center"/>
              <w:rPr>
                <w:rFonts w:ascii="宋体" w:hAnsi="宋体"/>
                <w:b/>
                <w:color w:val="000000"/>
                <w:sz w:val="21"/>
                <w:szCs w:val="21"/>
                <w:highlight w:val="none"/>
              </w:rPr>
            </w:pPr>
            <w:r>
              <w:rPr>
                <w:rFonts w:hint="eastAsia" w:ascii="宋体" w:hAnsi="宋体"/>
                <w:b/>
                <w:color w:val="000000"/>
                <w:sz w:val="21"/>
                <w:szCs w:val="21"/>
                <w:highlight w:val="none"/>
              </w:rPr>
              <w:t>比选</w:t>
            </w:r>
            <w:r>
              <w:rPr>
                <w:rFonts w:ascii="宋体" w:hAnsi="宋体"/>
                <w:b/>
                <w:color w:val="000000"/>
                <w:sz w:val="21"/>
                <w:szCs w:val="21"/>
                <w:highlight w:val="none"/>
              </w:rPr>
              <w:t>服务响应</w:t>
            </w:r>
          </w:p>
        </w:tc>
        <w:tc>
          <w:tcPr>
            <w:tcW w:w="1719" w:type="dxa"/>
            <w:noWrap w:val="0"/>
            <w:vAlign w:val="top"/>
          </w:tcPr>
          <w:p>
            <w:pPr>
              <w:pStyle w:val="46"/>
              <w:rPr>
                <w:rFonts w:ascii="宋体" w:hAnsi="宋体"/>
                <w:b/>
                <w:color w:val="000000"/>
                <w:sz w:val="21"/>
                <w:szCs w:val="21"/>
                <w:highlight w:val="none"/>
              </w:rPr>
            </w:pPr>
            <w:r>
              <w:rPr>
                <w:rFonts w:hint="eastAsia" w:ascii="宋体" w:hAnsi="宋体"/>
                <w:b/>
                <w:color w:val="000000"/>
                <w:sz w:val="21"/>
                <w:szCs w:val="21"/>
                <w:highlight w:val="none"/>
              </w:rPr>
              <w:t>响应及偏离情况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56" w:type="dxa"/>
            <w:noWrap w:val="0"/>
            <w:vAlign w:val="top"/>
          </w:tcPr>
          <w:p>
            <w:pPr>
              <w:pStyle w:val="46"/>
              <w:rPr>
                <w:rFonts w:ascii="宋体" w:hAnsi="宋体"/>
                <w:color w:val="000000"/>
                <w:sz w:val="21"/>
                <w:szCs w:val="21"/>
                <w:highlight w:val="none"/>
              </w:rPr>
            </w:pPr>
          </w:p>
        </w:tc>
        <w:tc>
          <w:tcPr>
            <w:tcW w:w="1489" w:type="dxa"/>
            <w:noWrap w:val="0"/>
            <w:vAlign w:val="top"/>
          </w:tcPr>
          <w:p>
            <w:pPr>
              <w:pStyle w:val="46"/>
              <w:rPr>
                <w:rFonts w:ascii="宋体" w:hAnsi="宋体"/>
                <w:color w:val="000000"/>
                <w:sz w:val="21"/>
                <w:szCs w:val="21"/>
                <w:highlight w:val="none"/>
              </w:rPr>
            </w:pPr>
          </w:p>
        </w:tc>
        <w:tc>
          <w:tcPr>
            <w:tcW w:w="2268" w:type="dxa"/>
            <w:noWrap w:val="0"/>
            <w:vAlign w:val="top"/>
          </w:tcPr>
          <w:p>
            <w:pPr>
              <w:pStyle w:val="46"/>
              <w:rPr>
                <w:rFonts w:ascii="宋体" w:hAnsi="宋体"/>
                <w:color w:val="000000"/>
                <w:sz w:val="21"/>
                <w:szCs w:val="21"/>
                <w:highlight w:val="none"/>
              </w:rPr>
            </w:pPr>
          </w:p>
        </w:tc>
        <w:tc>
          <w:tcPr>
            <w:tcW w:w="2127" w:type="dxa"/>
            <w:noWrap w:val="0"/>
            <w:vAlign w:val="top"/>
          </w:tcPr>
          <w:p>
            <w:pPr>
              <w:pStyle w:val="46"/>
              <w:rPr>
                <w:rFonts w:ascii="宋体" w:hAnsi="宋体"/>
                <w:color w:val="000000"/>
                <w:sz w:val="21"/>
                <w:szCs w:val="21"/>
                <w:highlight w:val="none"/>
              </w:rPr>
            </w:pPr>
          </w:p>
        </w:tc>
        <w:tc>
          <w:tcPr>
            <w:tcW w:w="1719" w:type="dxa"/>
            <w:noWrap w:val="0"/>
            <w:vAlign w:val="top"/>
          </w:tcPr>
          <w:p>
            <w:pPr>
              <w:pStyle w:val="46"/>
              <w:rPr>
                <w:rFonts w:ascii="宋体" w:hAnsi="宋体"/>
                <w:color w:val="00000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56" w:type="dxa"/>
            <w:noWrap w:val="0"/>
            <w:vAlign w:val="top"/>
          </w:tcPr>
          <w:p>
            <w:pPr>
              <w:pStyle w:val="46"/>
              <w:rPr>
                <w:rFonts w:ascii="宋体" w:hAnsi="宋体"/>
                <w:color w:val="000000"/>
                <w:sz w:val="21"/>
                <w:szCs w:val="21"/>
                <w:highlight w:val="none"/>
              </w:rPr>
            </w:pPr>
          </w:p>
        </w:tc>
        <w:tc>
          <w:tcPr>
            <w:tcW w:w="1489" w:type="dxa"/>
            <w:noWrap w:val="0"/>
            <w:vAlign w:val="top"/>
          </w:tcPr>
          <w:p>
            <w:pPr>
              <w:pStyle w:val="46"/>
              <w:rPr>
                <w:rFonts w:ascii="宋体" w:hAnsi="宋体"/>
                <w:color w:val="000000"/>
                <w:sz w:val="21"/>
                <w:szCs w:val="21"/>
                <w:highlight w:val="none"/>
              </w:rPr>
            </w:pPr>
          </w:p>
        </w:tc>
        <w:tc>
          <w:tcPr>
            <w:tcW w:w="2268" w:type="dxa"/>
            <w:noWrap w:val="0"/>
            <w:vAlign w:val="top"/>
          </w:tcPr>
          <w:p>
            <w:pPr>
              <w:pStyle w:val="46"/>
              <w:rPr>
                <w:rFonts w:ascii="宋体" w:hAnsi="宋体"/>
                <w:color w:val="000000"/>
                <w:sz w:val="21"/>
                <w:szCs w:val="21"/>
                <w:highlight w:val="none"/>
              </w:rPr>
            </w:pPr>
          </w:p>
        </w:tc>
        <w:tc>
          <w:tcPr>
            <w:tcW w:w="2127" w:type="dxa"/>
            <w:noWrap w:val="0"/>
            <w:vAlign w:val="top"/>
          </w:tcPr>
          <w:p>
            <w:pPr>
              <w:pStyle w:val="46"/>
              <w:rPr>
                <w:rFonts w:ascii="宋体" w:hAnsi="宋体"/>
                <w:color w:val="000000"/>
                <w:sz w:val="21"/>
                <w:szCs w:val="21"/>
                <w:highlight w:val="none"/>
              </w:rPr>
            </w:pPr>
          </w:p>
        </w:tc>
        <w:tc>
          <w:tcPr>
            <w:tcW w:w="1719" w:type="dxa"/>
            <w:noWrap w:val="0"/>
            <w:vAlign w:val="top"/>
          </w:tcPr>
          <w:p>
            <w:pPr>
              <w:pStyle w:val="46"/>
              <w:rPr>
                <w:rFonts w:ascii="宋体" w:hAnsi="宋体"/>
                <w:color w:val="00000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856" w:type="dxa"/>
            <w:noWrap w:val="0"/>
            <w:vAlign w:val="top"/>
          </w:tcPr>
          <w:p>
            <w:pPr>
              <w:pStyle w:val="46"/>
              <w:rPr>
                <w:rFonts w:ascii="宋体" w:hAnsi="宋体"/>
                <w:color w:val="000000"/>
                <w:sz w:val="21"/>
                <w:szCs w:val="21"/>
                <w:highlight w:val="none"/>
              </w:rPr>
            </w:pPr>
          </w:p>
        </w:tc>
        <w:tc>
          <w:tcPr>
            <w:tcW w:w="1489" w:type="dxa"/>
            <w:noWrap w:val="0"/>
            <w:vAlign w:val="top"/>
          </w:tcPr>
          <w:p>
            <w:pPr>
              <w:pStyle w:val="46"/>
              <w:rPr>
                <w:rFonts w:ascii="宋体" w:hAnsi="宋体"/>
                <w:color w:val="000000"/>
                <w:sz w:val="21"/>
                <w:szCs w:val="21"/>
                <w:highlight w:val="none"/>
              </w:rPr>
            </w:pPr>
          </w:p>
        </w:tc>
        <w:tc>
          <w:tcPr>
            <w:tcW w:w="2268" w:type="dxa"/>
            <w:noWrap w:val="0"/>
            <w:vAlign w:val="top"/>
          </w:tcPr>
          <w:p>
            <w:pPr>
              <w:pStyle w:val="46"/>
              <w:rPr>
                <w:rFonts w:ascii="宋体" w:hAnsi="宋体"/>
                <w:color w:val="000000"/>
                <w:sz w:val="21"/>
                <w:szCs w:val="21"/>
                <w:highlight w:val="none"/>
              </w:rPr>
            </w:pPr>
          </w:p>
        </w:tc>
        <w:tc>
          <w:tcPr>
            <w:tcW w:w="2127" w:type="dxa"/>
            <w:noWrap w:val="0"/>
            <w:vAlign w:val="top"/>
          </w:tcPr>
          <w:p>
            <w:pPr>
              <w:pStyle w:val="46"/>
              <w:rPr>
                <w:rFonts w:ascii="宋体" w:hAnsi="宋体"/>
                <w:color w:val="000000"/>
                <w:sz w:val="21"/>
                <w:szCs w:val="21"/>
                <w:highlight w:val="none"/>
              </w:rPr>
            </w:pPr>
          </w:p>
        </w:tc>
        <w:tc>
          <w:tcPr>
            <w:tcW w:w="1719" w:type="dxa"/>
            <w:noWrap w:val="0"/>
            <w:vAlign w:val="top"/>
          </w:tcPr>
          <w:p>
            <w:pPr>
              <w:pStyle w:val="46"/>
              <w:rPr>
                <w:rFonts w:ascii="宋体" w:hAnsi="宋体"/>
                <w:color w:val="00000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56" w:type="dxa"/>
            <w:noWrap w:val="0"/>
            <w:vAlign w:val="top"/>
          </w:tcPr>
          <w:p>
            <w:pPr>
              <w:pStyle w:val="46"/>
              <w:rPr>
                <w:rFonts w:ascii="宋体" w:hAnsi="宋体"/>
                <w:color w:val="000000"/>
                <w:sz w:val="21"/>
                <w:szCs w:val="21"/>
                <w:highlight w:val="none"/>
              </w:rPr>
            </w:pPr>
          </w:p>
        </w:tc>
        <w:tc>
          <w:tcPr>
            <w:tcW w:w="1489" w:type="dxa"/>
            <w:noWrap w:val="0"/>
            <w:vAlign w:val="top"/>
          </w:tcPr>
          <w:p>
            <w:pPr>
              <w:pStyle w:val="46"/>
              <w:rPr>
                <w:rFonts w:ascii="宋体" w:hAnsi="宋体"/>
                <w:color w:val="000000"/>
                <w:sz w:val="21"/>
                <w:szCs w:val="21"/>
                <w:highlight w:val="none"/>
              </w:rPr>
            </w:pPr>
          </w:p>
        </w:tc>
        <w:tc>
          <w:tcPr>
            <w:tcW w:w="2268" w:type="dxa"/>
            <w:noWrap w:val="0"/>
            <w:vAlign w:val="top"/>
          </w:tcPr>
          <w:p>
            <w:pPr>
              <w:pStyle w:val="46"/>
              <w:rPr>
                <w:rFonts w:ascii="宋体" w:hAnsi="宋体"/>
                <w:color w:val="000000"/>
                <w:sz w:val="21"/>
                <w:szCs w:val="21"/>
                <w:highlight w:val="none"/>
              </w:rPr>
            </w:pPr>
          </w:p>
        </w:tc>
        <w:tc>
          <w:tcPr>
            <w:tcW w:w="2127" w:type="dxa"/>
            <w:noWrap w:val="0"/>
            <w:vAlign w:val="top"/>
          </w:tcPr>
          <w:p>
            <w:pPr>
              <w:pStyle w:val="46"/>
              <w:rPr>
                <w:rFonts w:ascii="宋体" w:hAnsi="宋体"/>
                <w:color w:val="000000"/>
                <w:sz w:val="21"/>
                <w:szCs w:val="21"/>
                <w:highlight w:val="none"/>
              </w:rPr>
            </w:pPr>
          </w:p>
        </w:tc>
        <w:tc>
          <w:tcPr>
            <w:tcW w:w="1719" w:type="dxa"/>
            <w:noWrap w:val="0"/>
            <w:vAlign w:val="top"/>
          </w:tcPr>
          <w:p>
            <w:pPr>
              <w:pStyle w:val="46"/>
              <w:rPr>
                <w:rFonts w:ascii="宋体" w:hAnsi="宋体"/>
                <w:color w:val="00000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56" w:type="dxa"/>
            <w:noWrap w:val="0"/>
            <w:vAlign w:val="top"/>
          </w:tcPr>
          <w:p>
            <w:pPr>
              <w:pStyle w:val="46"/>
              <w:rPr>
                <w:rFonts w:ascii="宋体" w:hAnsi="宋体"/>
                <w:color w:val="000000"/>
                <w:sz w:val="21"/>
                <w:szCs w:val="21"/>
                <w:highlight w:val="none"/>
              </w:rPr>
            </w:pPr>
          </w:p>
        </w:tc>
        <w:tc>
          <w:tcPr>
            <w:tcW w:w="1489" w:type="dxa"/>
            <w:noWrap w:val="0"/>
            <w:vAlign w:val="top"/>
          </w:tcPr>
          <w:p>
            <w:pPr>
              <w:pStyle w:val="46"/>
              <w:rPr>
                <w:rFonts w:ascii="宋体" w:hAnsi="宋体"/>
                <w:color w:val="000000"/>
                <w:sz w:val="21"/>
                <w:szCs w:val="21"/>
                <w:highlight w:val="none"/>
              </w:rPr>
            </w:pPr>
          </w:p>
        </w:tc>
        <w:tc>
          <w:tcPr>
            <w:tcW w:w="2268" w:type="dxa"/>
            <w:noWrap w:val="0"/>
            <w:vAlign w:val="top"/>
          </w:tcPr>
          <w:p>
            <w:pPr>
              <w:pStyle w:val="46"/>
              <w:rPr>
                <w:rFonts w:ascii="宋体" w:hAnsi="宋体"/>
                <w:color w:val="000000"/>
                <w:sz w:val="21"/>
                <w:szCs w:val="21"/>
                <w:highlight w:val="none"/>
              </w:rPr>
            </w:pPr>
          </w:p>
        </w:tc>
        <w:tc>
          <w:tcPr>
            <w:tcW w:w="2127" w:type="dxa"/>
            <w:noWrap w:val="0"/>
            <w:vAlign w:val="top"/>
          </w:tcPr>
          <w:p>
            <w:pPr>
              <w:pStyle w:val="46"/>
              <w:rPr>
                <w:rFonts w:ascii="宋体" w:hAnsi="宋体"/>
                <w:color w:val="000000"/>
                <w:sz w:val="21"/>
                <w:szCs w:val="21"/>
                <w:highlight w:val="none"/>
              </w:rPr>
            </w:pPr>
          </w:p>
        </w:tc>
        <w:tc>
          <w:tcPr>
            <w:tcW w:w="1719" w:type="dxa"/>
            <w:noWrap w:val="0"/>
            <w:vAlign w:val="top"/>
          </w:tcPr>
          <w:p>
            <w:pPr>
              <w:pStyle w:val="46"/>
              <w:rPr>
                <w:rFonts w:ascii="宋体" w:hAnsi="宋体"/>
                <w:color w:val="00000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56" w:type="dxa"/>
            <w:noWrap w:val="0"/>
            <w:vAlign w:val="top"/>
          </w:tcPr>
          <w:p>
            <w:pPr>
              <w:pStyle w:val="46"/>
              <w:rPr>
                <w:rFonts w:ascii="宋体" w:hAnsi="宋体"/>
                <w:color w:val="000000"/>
                <w:sz w:val="21"/>
                <w:szCs w:val="21"/>
                <w:highlight w:val="none"/>
              </w:rPr>
            </w:pPr>
          </w:p>
        </w:tc>
        <w:tc>
          <w:tcPr>
            <w:tcW w:w="1489" w:type="dxa"/>
            <w:noWrap w:val="0"/>
            <w:vAlign w:val="top"/>
          </w:tcPr>
          <w:p>
            <w:pPr>
              <w:pStyle w:val="46"/>
              <w:rPr>
                <w:rFonts w:ascii="宋体" w:hAnsi="宋体"/>
                <w:color w:val="000000"/>
                <w:sz w:val="21"/>
                <w:szCs w:val="21"/>
                <w:highlight w:val="none"/>
              </w:rPr>
            </w:pPr>
          </w:p>
        </w:tc>
        <w:tc>
          <w:tcPr>
            <w:tcW w:w="2268" w:type="dxa"/>
            <w:noWrap w:val="0"/>
            <w:vAlign w:val="top"/>
          </w:tcPr>
          <w:p>
            <w:pPr>
              <w:pStyle w:val="46"/>
              <w:rPr>
                <w:rFonts w:ascii="宋体" w:hAnsi="宋体"/>
                <w:color w:val="000000"/>
                <w:sz w:val="21"/>
                <w:szCs w:val="21"/>
                <w:highlight w:val="none"/>
              </w:rPr>
            </w:pPr>
          </w:p>
        </w:tc>
        <w:tc>
          <w:tcPr>
            <w:tcW w:w="2127" w:type="dxa"/>
            <w:noWrap w:val="0"/>
            <w:vAlign w:val="top"/>
          </w:tcPr>
          <w:p>
            <w:pPr>
              <w:pStyle w:val="46"/>
              <w:rPr>
                <w:rFonts w:ascii="宋体" w:hAnsi="宋体"/>
                <w:color w:val="000000"/>
                <w:sz w:val="21"/>
                <w:szCs w:val="21"/>
                <w:highlight w:val="none"/>
              </w:rPr>
            </w:pPr>
          </w:p>
        </w:tc>
        <w:tc>
          <w:tcPr>
            <w:tcW w:w="1719" w:type="dxa"/>
            <w:noWrap w:val="0"/>
            <w:vAlign w:val="top"/>
          </w:tcPr>
          <w:p>
            <w:pPr>
              <w:pStyle w:val="46"/>
              <w:rPr>
                <w:rFonts w:ascii="宋体" w:hAnsi="宋体"/>
                <w:color w:val="00000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856" w:type="dxa"/>
            <w:noWrap w:val="0"/>
            <w:vAlign w:val="top"/>
          </w:tcPr>
          <w:p>
            <w:pPr>
              <w:pStyle w:val="46"/>
              <w:rPr>
                <w:rFonts w:ascii="宋体" w:hAnsi="宋体"/>
                <w:color w:val="000000"/>
                <w:sz w:val="21"/>
                <w:szCs w:val="21"/>
                <w:highlight w:val="none"/>
              </w:rPr>
            </w:pPr>
          </w:p>
        </w:tc>
        <w:tc>
          <w:tcPr>
            <w:tcW w:w="1489" w:type="dxa"/>
            <w:noWrap w:val="0"/>
            <w:vAlign w:val="top"/>
          </w:tcPr>
          <w:p>
            <w:pPr>
              <w:pStyle w:val="46"/>
              <w:rPr>
                <w:rFonts w:ascii="宋体" w:hAnsi="宋体"/>
                <w:color w:val="000000"/>
                <w:sz w:val="21"/>
                <w:szCs w:val="21"/>
                <w:highlight w:val="none"/>
              </w:rPr>
            </w:pPr>
          </w:p>
        </w:tc>
        <w:tc>
          <w:tcPr>
            <w:tcW w:w="2268" w:type="dxa"/>
            <w:noWrap w:val="0"/>
            <w:vAlign w:val="top"/>
          </w:tcPr>
          <w:p>
            <w:pPr>
              <w:pStyle w:val="46"/>
              <w:rPr>
                <w:rFonts w:ascii="宋体" w:hAnsi="宋体"/>
                <w:color w:val="000000"/>
                <w:sz w:val="21"/>
                <w:szCs w:val="21"/>
                <w:highlight w:val="none"/>
              </w:rPr>
            </w:pPr>
          </w:p>
        </w:tc>
        <w:tc>
          <w:tcPr>
            <w:tcW w:w="2127" w:type="dxa"/>
            <w:noWrap w:val="0"/>
            <w:vAlign w:val="top"/>
          </w:tcPr>
          <w:p>
            <w:pPr>
              <w:pStyle w:val="46"/>
              <w:rPr>
                <w:rFonts w:ascii="宋体" w:hAnsi="宋体"/>
                <w:color w:val="000000"/>
                <w:sz w:val="21"/>
                <w:szCs w:val="21"/>
                <w:highlight w:val="none"/>
              </w:rPr>
            </w:pPr>
          </w:p>
        </w:tc>
        <w:tc>
          <w:tcPr>
            <w:tcW w:w="1719" w:type="dxa"/>
            <w:noWrap w:val="0"/>
            <w:vAlign w:val="top"/>
          </w:tcPr>
          <w:p>
            <w:pPr>
              <w:pStyle w:val="46"/>
              <w:rPr>
                <w:rFonts w:ascii="宋体" w:hAnsi="宋体"/>
                <w:color w:val="000000"/>
                <w:sz w:val="21"/>
                <w:szCs w:val="21"/>
                <w:highlight w:val="none"/>
              </w:rPr>
            </w:pPr>
          </w:p>
        </w:tc>
      </w:tr>
    </w:tbl>
    <w:p>
      <w:pPr>
        <w:widowControl/>
        <w:spacing w:line="360" w:lineRule="atLeast"/>
        <w:jc w:val="left"/>
        <w:outlineLvl w:val="1"/>
        <w:rPr>
          <w:rFonts w:hint="eastAsia" w:ascii="宋体"/>
          <w:sz w:val="24"/>
          <w:highlight w:val="none"/>
        </w:rPr>
      </w:pP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注：1. 供应商必须把比选文件</w:t>
      </w:r>
      <w:r>
        <w:rPr>
          <w:rFonts w:hint="eastAsia" w:ascii="宋体"/>
          <w:b/>
          <w:bCs/>
          <w:sz w:val="24"/>
          <w:highlight w:val="none"/>
        </w:rPr>
        <w:t>第五章技术服务要求全部</w:t>
      </w:r>
      <w:r>
        <w:rPr>
          <w:rFonts w:hint="eastAsia" w:ascii="宋体"/>
          <w:sz w:val="24"/>
          <w:highlight w:val="none"/>
        </w:rPr>
        <w:t>列入此表。</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2．按照比选项目技术要求的顺序逐条对应填写。</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3．供应商必须据实填写，不得虚假填写，否则将取消其比选或中标资格。</w:t>
      </w:r>
    </w:p>
    <w:p>
      <w:pPr>
        <w:widowControl/>
        <w:spacing w:line="360" w:lineRule="atLeast"/>
        <w:ind w:firstLine="470" w:firstLineChars="196"/>
        <w:jc w:val="left"/>
        <w:outlineLvl w:val="1"/>
        <w:rPr>
          <w:rFonts w:hint="eastAsia" w:ascii="宋体"/>
          <w:sz w:val="24"/>
          <w:highlight w:val="none"/>
        </w:rPr>
      </w:pP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供应商名称：XXXX（单位盖章）。</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法定代表人/单位负责人或授权代表（签字或加盖个人名章）：XXXX。</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比选日期: XXXX。</w:t>
      </w:r>
    </w:p>
    <w:p>
      <w:pPr>
        <w:widowControl/>
        <w:spacing w:line="360" w:lineRule="atLeast"/>
        <w:ind w:firstLine="470" w:firstLineChars="196"/>
        <w:jc w:val="left"/>
        <w:outlineLvl w:val="1"/>
        <w:rPr>
          <w:rFonts w:hint="eastAsia" w:ascii="宋体"/>
          <w:sz w:val="24"/>
          <w:highlight w:val="none"/>
        </w:rPr>
      </w:pPr>
    </w:p>
    <w:p>
      <w:pPr>
        <w:widowControl/>
        <w:spacing w:line="360" w:lineRule="atLeast"/>
        <w:ind w:firstLine="470" w:firstLineChars="196"/>
        <w:jc w:val="left"/>
        <w:outlineLvl w:val="1"/>
        <w:rPr>
          <w:rFonts w:hint="eastAsia" w:ascii="宋体"/>
          <w:sz w:val="24"/>
          <w:highlight w:val="none"/>
        </w:rPr>
      </w:pPr>
      <w:bookmarkStart w:id="123" w:name="_Toc217446091"/>
    </w:p>
    <w:p>
      <w:pPr>
        <w:widowControl/>
        <w:spacing w:line="360" w:lineRule="atLeast"/>
        <w:ind w:firstLine="470" w:firstLineChars="196"/>
        <w:jc w:val="left"/>
        <w:outlineLvl w:val="1"/>
        <w:rPr>
          <w:rFonts w:hint="eastAsia" w:ascii="宋体"/>
          <w:sz w:val="24"/>
          <w:highlight w:val="none"/>
        </w:rPr>
      </w:pPr>
    </w:p>
    <w:p>
      <w:pPr>
        <w:widowControl/>
        <w:spacing w:line="360" w:lineRule="atLeast"/>
        <w:ind w:firstLine="472" w:firstLineChars="196"/>
        <w:jc w:val="left"/>
        <w:outlineLvl w:val="1"/>
        <w:rPr>
          <w:rFonts w:hint="eastAsia" w:ascii="宋体"/>
          <w:b/>
          <w:sz w:val="24"/>
          <w:highlight w:val="none"/>
        </w:rPr>
      </w:pPr>
    </w:p>
    <w:p>
      <w:pPr>
        <w:widowControl/>
        <w:jc w:val="center"/>
        <w:rPr>
          <w:rFonts w:hint="eastAsia" w:ascii="黑体" w:eastAsia="黑体"/>
          <w:b/>
          <w:sz w:val="32"/>
          <w:szCs w:val="32"/>
          <w:highlight w:val="none"/>
        </w:rPr>
      </w:pPr>
      <w:r>
        <w:rPr>
          <w:rFonts w:hint="eastAsia" w:ascii="黑体" w:eastAsia="黑体"/>
          <w:b/>
          <w:sz w:val="32"/>
          <w:szCs w:val="32"/>
          <w:highlight w:val="none"/>
        </w:rPr>
        <w:br w:type="page"/>
      </w:r>
      <w:r>
        <w:rPr>
          <w:rFonts w:hint="eastAsia" w:ascii="黑体" w:eastAsia="黑体"/>
          <w:b/>
          <w:sz w:val="32"/>
          <w:szCs w:val="32"/>
          <w:highlight w:val="none"/>
        </w:rPr>
        <w:t>服务应答附表</w:t>
      </w:r>
    </w:p>
    <w:p>
      <w:pPr>
        <w:widowControl/>
        <w:jc w:val="center"/>
        <w:rPr>
          <w:rFonts w:hint="eastAsia" w:ascii="黑体" w:eastAsia="黑体"/>
          <w:b/>
          <w:sz w:val="32"/>
          <w:szCs w:val="32"/>
          <w:highlight w:val="none"/>
        </w:rPr>
      </w:pPr>
      <w:r>
        <w:rPr>
          <w:rFonts w:hint="eastAsia" w:ascii="黑体" w:eastAsia="黑体"/>
          <w:b/>
          <w:sz w:val="32"/>
          <w:szCs w:val="32"/>
          <w:highlight w:val="none"/>
        </w:rPr>
        <w:t>（仅用于中标、成交结果公告，此表不作为评审内容）</w:t>
      </w:r>
    </w:p>
    <w:p>
      <w:pPr>
        <w:widowControl/>
        <w:jc w:val="left"/>
        <w:rPr>
          <w:rFonts w:hint="eastAsia" w:ascii="宋体" w:hAnsi="宋体" w:cs="宋体"/>
          <w:bCs/>
          <w:sz w:val="28"/>
          <w:szCs w:val="28"/>
          <w:highlight w:val="none"/>
        </w:rPr>
      </w:pPr>
      <w:r>
        <w:rPr>
          <w:rFonts w:hint="eastAsia" w:ascii="宋体" w:hAnsi="宋体" w:cs="宋体"/>
          <w:bCs/>
          <w:sz w:val="28"/>
          <w:szCs w:val="28"/>
          <w:highlight w:val="none"/>
        </w:rPr>
        <w:t xml:space="preserve">    </w:t>
      </w:r>
    </w:p>
    <w:p>
      <w:pPr>
        <w:widowControl/>
        <w:jc w:val="left"/>
        <w:rPr>
          <w:rFonts w:hint="eastAsia" w:ascii="宋体" w:hAnsi="宋体" w:cs="宋体"/>
          <w:bCs/>
          <w:sz w:val="24"/>
          <w:highlight w:val="none"/>
        </w:rPr>
      </w:pPr>
      <w:r>
        <w:rPr>
          <w:rFonts w:hint="eastAsia" w:ascii="宋体" w:hAnsi="宋体" w:cs="宋体"/>
          <w:bCs/>
          <w:sz w:val="24"/>
          <w:highlight w:val="none"/>
        </w:rPr>
        <w:t xml:space="preserve">    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94"/>
        <w:gridCol w:w="6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3" w:hRule="atLeast"/>
          <w:jc w:val="center"/>
        </w:trPr>
        <w:tc>
          <w:tcPr>
            <w:tcW w:w="7960" w:type="dxa"/>
            <w:gridSpan w:val="2"/>
            <w:noWrap w:val="0"/>
            <w:vAlign w:val="center"/>
          </w:tcPr>
          <w:p>
            <w:pPr>
              <w:widowControl/>
              <w:jc w:val="center"/>
              <w:textAlignment w:val="center"/>
              <w:rPr>
                <w:rFonts w:ascii="黑体" w:hAnsi="宋体" w:eastAsia="黑体" w:cs="黑体"/>
                <w:bCs/>
                <w:sz w:val="24"/>
                <w:highlight w:val="none"/>
                <w:u w:val="single"/>
              </w:rPr>
            </w:pPr>
            <w:r>
              <w:rPr>
                <w:rFonts w:hint="eastAsia" w:ascii="宋体" w:hAnsi="宋体" w:cs="宋体"/>
                <w:b/>
                <w:kern w:val="0"/>
                <w:sz w:val="24"/>
                <w:highlight w:val="none"/>
              </w:rPr>
              <w:t>中标（成交）供应商的相关信息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jc w:val="center"/>
        </w:trPr>
        <w:tc>
          <w:tcPr>
            <w:tcW w:w="1894" w:type="dxa"/>
            <w:noWrap w:val="0"/>
            <w:vAlign w:val="center"/>
          </w:tcPr>
          <w:p>
            <w:pPr>
              <w:widowControl/>
              <w:jc w:val="center"/>
              <w:textAlignment w:val="center"/>
              <w:rPr>
                <w:rFonts w:hint="eastAsia" w:ascii="宋体" w:hAnsi="宋体" w:cs="宋体"/>
                <w:b/>
                <w:kern w:val="0"/>
                <w:sz w:val="24"/>
                <w:highlight w:val="none"/>
              </w:rPr>
            </w:pPr>
            <w:r>
              <w:rPr>
                <w:rFonts w:hint="eastAsia" w:ascii="宋体" w:hAnsi="宋体" w:cs="宋体"/>
                <w:b/>
                <w:kern w:val="0"/>
                <w:sz w:val="24"/>
                <w:highlight w:val="none"/>
              </w:rPr>
              <w:t>项目名称</w:t>
            </w:r>
          </w:p>
        </w:tc>
        <w:tc>
          <w:tcPr>
            <w:tcW w:w="6066" w:type="dxa"/>
            <w:noWrap w:val="0"/>
            <w:vAlign w:val="center"/>
          </w:tcPr>
          <w:p>
            <w:pPr>
              <w:widowControl/>
              <w:jc w:val="center"/>
              <w:textAlignment w:val="center"/>
              <w:rPr>
                <w:rFonts w:hint="eastAsia" w:ascii="宋体" w:hAnsi="宋体" w:cs="宋体"/>
                <w:b/>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3" w:hRule="atLeast"/>
          <w:jc w:val="center"/>
        </w:trPr>
        <w:tc>
          <w:tcPr>
            <w:tcW w:w="1894" w:type="dxa"/>
            <w:noWrap w:val="0"/>
            <w:vAlign w:val="center"/>
          </w:tcPr>
          <w:p>
            <w:pPr>
              <w:widowControl/>
              <w:jc w:val="center"/>
              <w:textAlignment w:val="center"/>
              <w:rPr>
                <w:rFonts w:hint="eastAsia" w:ascii="宋体" w:hAnsi="宋体" w:cs="宋体"/>
                <w:b/>
                <w:kern w:val="0"/>
                <w:sz w:val="24"/>
                <w:highlight w:val="none"/>
              </w:rPr>
            </w:pPr>
            <w:r>
              <w:rPr>
                <w:rFonts w:hint="eastAsia" w:ascii="宋体" w:hAnsi="宋体" w:cs="宋体"/>
                <w:b/>
                <w:kern w:val="0"/>
                <w:sz w:val="24"/>
                <w:highlight w:val="none"/>
              </w:rPr>
              <w:t>供应商名称</w:t>
            </w:r>
          </w:p>
        </w:tc>
        <w:tc>
          <w:tcPr>
            <w:tcW w:w="6066" w:type="dxa"/>
            <w:noWrap w:val="0"/>
            <w:vAlign w:val="center"/>
          </w:tcPr>
          <w:p>
            <w:pPr>
              <w:widowControl/>
              <w:jc w:val="center"/>
              <w:textAlignment w:val="center"/>
              <w:rPr>
                <w:rFonts w:hint="eastAsia" w:ascii="宋体" w:hAnsi="宋体" w:cs="宋体"/>
                <w:b/>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2" w:hRule="atLeast"/>
          <w:jc w:val="center"/>
        </w:trPr>
        <w:tc>
          <w:tcPr>
            <w:tcW w:w="1894" w:type="dxa"/>
            <w:vMerge w:val="restart"/>
            <w:noWrap w:val="0"/>
            <w:vAlign w:val="center"/>
          </w:tcPr>
          <w:p>
            <w:pPr>
              <w:widowControl/>
              <w:jc w:val="center"/>
              <w:textAlignment w:val="center"/>
              <w:rPr>
                <w:rFonts w:hint="eastAsia" w:ascii="宋体" w:hAnsi="宋体" w:cs="宋体"/>
                <w:b/>
                <w:kern w:val="0"/>
                <w:sz w:val="24"/>
                <w:highlight w:val="none"/>
              </w:rPr>
            </w:pPr>
            <w:r>
              <w:rPr>
                <w:rFonts w:hint="eastAsia" w:ascii="宋体" w:hAnsi="宋体" w:cs="宋体"/>
                <w:b/>
                <w:kern w:val="0"/>
                <w:sz w:val="24"/>
                <w:highlight w:val="none"/>
              </w:rPr>
              <w:t>供应商应答“比选文件第五章服务要求”的主要内容</w:t>
            </w:r>
          </w:p>
        </w:tc>
        <w:tc>
          <w:tcPr>
            <w:tcW w:w="6066" w:type="dxa"/>
            <w:noWrap w:val="0"/>
            <w:vAlign w:val="center"/>
          </w:tcPr>
          <w:p>
            <w:pPr>
              <w:jc w:val="left"/>
              <w:rPr>
                <w:rFonts w:hint="eastAsia" w:ascii="宋体" w:hAnsi="宋体" w:cs="宋体"/>
                <w:b/>
                <w:kern w:val="0"/>
                <w:sz w:val="24"/>
                <w:highlight w:val="none"/>
              </w:rPr>
            </w:pPr>
            <w:r>
              <w:rPr>
                <w:rFonts w:hint="eastAsia" w:ascii="宋体" w:hAnsi="宋体" w:cs="宋体"/>
                <w:bCs/>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92" w:hRule="atLeast"/>
          <w:jc w:val="center"/>
        </w:trPr>
        <w:tc>
          <w:tcPr>
            <w:tcW w:w="1894" w:type="dxa"/>
            <w:vMerge w:val="continue"/>
            <w:noWrap w:val="0"/>
            <w:vAlign w:val="center"/>
          </w:tcPr>
          <w:p>
            <w:pPr>
              <w:widowControl/>
              <w:jc w:val="center"/>
              <w:textAlignment w:val="center"/>
              <w:rPr>
                <w:rFonts w:hint="eastAsia" w:ascii="宋体" w:hAnsi="宋体" w:cs="宋体"/>
                <w:b/>
                <w:kern w:val="0"/>
                <w:sz w:val="24"/>
                <w:highlight w:val="none"/>
              </w:rPr>
            </w:pPr>
          </w:p>
        </w:tc>
        <w:tc>
          <w:tcPr>
            <w:tcW w:w="6066" w:type="dxa"/>
            <w:noWrap w:val="0"/>
            <w:vAlign w:val="center"/>
          </w:tcPr>
          <w:p>
            <w:pPr>
              <w:jc w:val="left"/>
              <w:rPr>
                <w:rFonts w:hint="eastAsia" w:ascii="宋体" w:hAnsi="宋体" w:cs="宋体"/>
                <w:bCs/>
                <w:sz w:val="24"/>
                <w:highlight w:val="none"/>
              </w:rPr>
            </w:pPr>
            <w:r>
              <w:rPr>
                <w:rFonts w:hint="eastAsia" w:ascii="宋体" w:hAnsi="宋体" w:cs="宋体"/>
                <w:bCs/>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2" w:hRule="atLeast"/>
          <w:jc w:val="center"/>
        </w:trPr>
        <w:tc>
          <w:tcPr>
            <w:tcW w:w="1894" w:type="dxa"/>
            <w:vMerge w:val="continue"/>
            <w:noWrap w:val="0"/>
            <w:vAlign w:val="center"/>
          </w:tcPr>
          <w:p>
            <w:pPr>
              <w:widowControl/>
              <w:jc w:val="center"/>
              <w:textAlignment w:val="center"/>
              <w:rPr>
                <w:rFonts w:hint="eastAsia" w:ascii="宋体" w:hAnsi="宋体" w:cs="宋体"/>
                <w:b/>
                <w:kern w:val="0"/>
                <w:sz w:val="24"/>
                <w:highlight w:val="none"/>
              </w:rPr>
            </w:pPr>
          </w:p>
        </w:tc>
        <w:tc>
          <w:tcPr>
            <w:tcW w:w="6066" w:type="dxa"/>
            <w:noWrap w:val="0"/>
            <w:vAlign w:val="center"/>
          </w:tcPr>
          <w:p>
            <w:pPr>
              <w:jc w:val="left"/>
              <w:rPr>
                <w:rFonts w:hint="eastAsia" w:ascii="宋体" w:hAnsi="宋体" w:cs="宋体"/>
                <w:bCs/>
                <w:sz w:val="24"/>
                <w:highlight w:val="none"/>
              </w:rPr>
            </w:pPr>
            <w:r>
              <w:rPr>
                <w:rFonts w:hint="eastAsia" w:ascii="宋体" w:hAnsi="宋体" w:cs="宋体"/>
                <w:bCs/>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92" w:hRule="atLeast"/>
          <w:jc w:val="center"/>
        </w:trPr>
        <w:tc>
          <w:tcPr>
            <w:tcW w:w="1894" w:type="dxa"/>
            <w:vMerge w:val="continue"/>
            <w:noWrap w:val="0"/>
            <w:vAlign w:val="center"/>
          </w:tcPr>
          <w:p>
            <w:pPr>
              <w:widowControl/>
              <w:jc w:val="center"/>
              <w:textAlignment w:val="center"/>
              <w:rPr>
                <w:rFonts w:hint="eastAsia" w:ascii="宋体" w:hAnsi="宋体" w:cs="宋体"/>
                <w:b/>
                <w:kern w:val="0"/>
                <w:sz w:val="24"/>
                <w:highlight w:val="none"/>
              </w:rPr>
            </w:pPr>
          </w:p>
        </w:tc>
        <w:tc>
          <w:tcPr>
            <w:tcW w:w="6066" w:type="dxa"/>
            <w:noWrap w:val="0"/>
            <w:vAlign w:val="center"/>
          </w:tcPr>
          <w:p>
            <w:pPr>
              <w:jc w:val="left"/>
              <w:rPr>
                <w:rFonts w:hint="eastAsia" w:ascii="宋体" w:hAnsi="宋体" w:cs="宋体"/>
                <w:bCs/>
                <w:sz w:val="24"/>
                <w:highlight w:val="none"/>
              </w:rPr>
            </w:pPr>
            <w:r>
              <w:rPr>
                <w:rFonts w:hint="eastAsia" w:ascii="宋体" w:hAnsi="宋体" w:cs="宋体"/>
                <w:bCs/>
                <w:sz w:val="24"/>
                <w:highlight w:val="none"/>
              </w:rPr>
              <w:t>......</w:t>
            </w:r>
          </w:p>
        </w:tc>
      </w:tr>
    </w:tbl>
    <w:p>
      <w:pPr>
        <w:spacing w:line="360" w:lineRule="auto"/>
        <w:rPr>
          <w:rFonts w:hint="eastAsia" w:hAnsi="宋体"/>
          <w:sz w:val="24"/>
          <w:highlight w:val="none"/>
        </w:rPr>
      </w:pPr>
      <w:r>
        <w:rPr>
          <w:rFonts w:hint="eastAsia" w:hAnsi="宋体"/>
          <w:sz w:val="24"/>
          <w:highlight w:val="none"/>
        </w:rPr>
        <w:t>注：</w:t>
      </w:r>
    </w:p>
    <w:p>
      <w:pPr>
        <w:numPr>
          <w:ilvl w:val="0"/>
          <w:numId w:val="1"/>
        </w:numPr>
        <w:spacing w:line="360" w:lineRule="auto"/>
        <w:rPr>
          <w:rFonts w:hint="eastAsia" w:hAnsi="宋体"/>
          <w:sz w:val="24"/>
          <w:highlight w:val="none"/>
        </w:rPr>
      </w:pPr>
      <w:r>
        <w:rPr>
          <w:rFonts w:hint="eastAsia" w:hAnsi="宋体"/>
          <w:sz w:val="24"/>
          <w:highlight w:val="none"/>
        </w:rPr>
        <w:t>供应商需如实完善表格内容。</w:t>
      </w:r>
    </w:p>
    <w:p>
      <w:pPr>
        <w:numPr>
          <w:ilvl w:val="0"/>
          <w:numId w:val="1"/>
        </w:numPr>
        <w:spacing w:line="360" w:lineRule="auto"/>
        <w:rPr>
          <w:rFonts w:hint="eastAsia" w:hAnsi="宋体"/>
          <w:sz w:val="24"/>
          <w:highlight w:val="none"/>
        </w:rPr>
      </w:pPr>
      <w:r>
        <w:rPr>
          <w:rFonts w:hint="eastAsia" w:hAnsi="宋体"/>
          <w:sz w:val="24"/>
          <w:highlight w:val="none"/>
        </w:rPr>
        <w:t>供应商应答的主要内容应与比选文件一致，可以进行简要概括性表述。</w:t>
      </w:r>
    </w:p>
    <w:p>
      <w:pPr>
        <w:numPr>
          <w:ilvl w:val="0"/>
          <w:numId w:val="1"/>
        </w:numPr>
        <w:spacing w:line="360" w:lineRule="auto"/>
        <w:rPr>
          <w:rFonts w:hint="eastAsia" w:hAnsi="宋体"/>
          <w:sz w:val="24"/>
          <w:highlight w:val="none"/>
        </w:rPr>
      </w:pPr>
      <w:r>
        <w:rPr>
          <w:rFonts w:hint="eastAsia" w:hAnsi="宋体"/>
          <w:sz w:val="24"/>
          <w:highlight w:val="none"/>
        </w:rPr>
        <w:t>供应商应答的主要内容仅用于结果公告，供应商自行完善的内容视为不涉及供应商商业秘密。若供应商没有填写或没有递交此表，视为允许采购代理机构将供应商比选</w:t>
      </w:r>
      <w:r>
        <w:rPr>
          <w:rFonts w:hint="eastAsia" w:hAnsi="宋体"/>
          <w:sz w:val="24"/>
          <w:highlight w:val="none"/>
          <w:lang w:eastAsia="zh-CN"/>
        </w:rPr>
        <w:t>申请</w:t>
      </w:r>
      <w:r>
        <w:rPr>
          <w:rFonts w:hint="eastAsia" w:hAnsi="宋体"/>
          <w:sz w:val="24"/>
          <w:highlight w:val="none"/>
        </w:rPr>
        <w:t>文件中所有相关的应答内容进行公告。</w:t>
      </w:r>
    </w:p>
    <w:p>
      <w:pPr>
        <w:spacing w:line="360" w:lineRule="auto"/>
        <w:rPr>
          <w:rFonts w:hint="eastAsia" w:hAnsi="宋体"/>
          <w:sz w:val="24"/>
          <w:highlight w:val="none"/>
        </w:rPr>
      </w:pPr>
    </w:p>
    <w:p>
      <w:pPr>
        <w:spacing w:line="360" w:lineRule="auto"/>
        <w:rPr>
          <w:rFonts w:hint="eastAsia" w:hAnsi="宋体"/>
          <w:sz w:val="24"/>
          <w:highlight w:val="none"/>
        </w:rPr>
      </w:pP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供应商名称：XXXX（单位盖章）。</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法定代表人/单位负责人或授权代表（签字或加盖个人名章）：XXXX。</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比选日期: XXXX。</w:t>
      </w:r>
    </w:p>
    <w:p>
      <w:pPr>
        <w:widowControl/>
        <w:spacing w:line="360" w:lineRule="atLeast"/>
        <w:jc w:val="center"/>
        <w:outlineLvl w:val="1"/>
        <w:rPr>
          <w:rFonts w:hint="eastAsia" w:ascii="黑体" w:eastAsia="黑体"/>
          <w:b/>
          <w:sz w:val="32"/>
          <w:szCs w:val="32"/>
          <w:highlight w:val="none"/>
        </w:rPr>
      </w:pPr>
      <w:r>
        <w:rPr>
          <w:rFonts w:hint="eastAsia" w:ascii="黑体" w:eastAsia="黑体"/>
          <w:b/>
          <w:sz w:val="32"/>
          <w:szCs w:val="32"/>
          <w:highlight w:val="none"/>
        </w:rPr>
        <w:br w:type="page"/>
      </w:r>
      <w:r>
        <w:rPr>
          <w:rFonts w:hint="eastAsia" w:ascii="黑体" w:eastAsia="黑体"/>
          <w:b/>
          <w:sz w:val="32"/>
          <w:szCs w:val="32"/>
          <w:highlight w:val="none"/>
        </w:rPr>
        <w:t>十、供应商本项目管理、技术、服务人员情况表</w:t>
      </w:r>
      <w:bookmarkEnd w:id="123"/>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2" w:firstLineChars="196"/>
        <w:jc w:val="left"/>
        <w:outlineLvl w:val="1"/>
        <w:rPr>
          <w:rFonts w:hint="eastAsia" w:ascii="宋体"/>
          <w:sz w:val="24"/>
          <w:highlight w:val="none"/>
        </w:rPr>
      </w:pPr>
      <w:r>
        <w:rPr>
          <w:rFonts w:hint="eastAsia" w:ascii="宋体"/>
          <w:b/>
          <w:sz w:val="24"/>
          <w:highlight w:val="none"/>
        </w:rPr>
        <w:t xml:space="preserve">   比选项目</w:t>
      </w:r>
      <w:r>
        <w:rPr>
          <w:rFonts w:hint="eastAsia" w:ascii="宋体"/>
          <w:sz w:val="24"/>
          <w:highlight w:val="none"/>
        </w:rPr>
        <w:t>：</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类别</w:t>
            </w:r>
          </w:p>
        </w:tc>
        <w:tc>
          <w:tcPr>
            <w:tcW w:w="807" w:type="dxa"/>
            <w:vMerge w:val="restart"/>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职务</w:t>
            </w:r>
          </w:p>
        </w:tc>
        <w:tc>
          <w:tcPr>
            <w:tcW w:w="807" w:type="dxa"/>
            <w:vMerge w:val="restart"/>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姓名</w:t>
            </w:r>
          </w:p>
        </w:tc>
        <w:tc>
          <w:tcPr>
            <w:tcW w:w="807" w:type="dxa"/>
            <w:vMerge w:val="restart"/>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职称</w:t>
            </w:r>
          </w:p>
        </w:tc>
        <w:tc>
          <w:tcPr>
            <w:tcW w:w="807" w:type="dxa"/>
            <w:vMerge w:val="restart"/>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常住地</w:t>
            </w:r>
          </w:p>
        </w:tc>
        <w:tc>
          <w:tcPr>
            <w:tcW w:w="3390" w:type="dxa"/>
            <w:gridSpan w:val="4"/>
            <w:noWrap w:val="0"/>
            <w:vAlign w:val="center"/>
          </w:tcPr>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noWrap w:val="0"/>
            <w:vAlign w:val="center"/>
          </w:tcPr>
          <w:p>
            <w:pPr>
              <w:rPr>
                <w:highlight w:val="none"/>
              </w:rPr>
            </w:pPr>
          </w:p>
        </w:tc>
        <w:tc>
          <w:tcPr>
            <w:tcW w:w="807" w:type="dxa"/>
            <w:vMerge w:val="continue"/>
            <w:noWrap w:val="0"/>
            <w:vAlign w:val="center"/>
          </w:tcPr>
          <w:p>
            <w:pPr>
              <w:rPr>
                <w:highlight w:val="none"/>
              </w:rPr>
            </w:pPr>
          </w:p>
        </w:tc>
        <w:tc>
          <w:tcPr>
            <w:tcW w:w="807" w:type="dxa"/>
            <w:vMerge w:val="continue"/>
            <w:noWrap w:val="0"/>
            <w:vAlign w:val="center"/>
          </w:tcPr>
          <w:p>
            <w:pPr>
              <w:rPr>
                <w:highlight w:val="none"/>
              </w:rPr>
            </w:pPr>
          </w:p>
        </w:tc>
        <w:tc>
          <w:tcPr>
            <w:tcW w:w="807" w:type="dxa"/>
            <w:vMerge w:val="continue"/>
            <w:noWrap w:val="0"/>
            <w:vAlign w:val="center"/>
          </w:tcPr>
          <w:p>
            <w:pPr>
              <w:rPr>
                <w:highlight w:val="none"/>
              </w:rPr>
            </w:pPr>
          </w:p>
        </w:tc>
        <w:tc>
          <w:tcPr>
            <w:tcW w:w="807" w:type="dxa"/>
            <w:vMerge w:val="continue"/>
            <w:noWrap w:val="0"/>
            <w:vAlign w:val="center"/>
          </w:tcPr>
          <w:p>
            <w:pPr>
              <w:rPr>
                <w:highlight w:val="none"/>
              </w:rPr>
            </w:pPr>
          </w:p>
        </w:tc>
        <w:tc>
          <w:tcPr>
            <w:tcW w:w="851"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证书</w:t>
            </w:r>
          </w:p>
          <w:p>
            <w:pPr>
              <w:widowControl/>
              <w:spacing w:line="360" w:lineRule="atLeast"/>
              <w:jc w:val="left"/>
              <w:outlineLvl w:val="1"/>
              <w:rPr>
                <w:rFonts w:hint="eastAsia" w:ascii="宋体"/>
                <w:sz w:val="24"/>
                <w:highlight w:val="none"/>
              </w:rPr>
            </w:pPr>
            <w:r>
              <w:rPr>
                <w:rFonts w:hint="eastAsia" w:ascii="宋体"/>
                <w:sz w:val="24"/>
                <w:highlight w:val="none"/>
              </w:rPr>
              <w:t>名称</w:t>
            </w:r>
          </w:p>
        </w:tc>
        <w:tc>
          <w:tcPr>
            <w:tcW w:w="960"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级别</w:t>
            </w:r>
          </w:p>
        </w:tc>
        <w:tc>
          <w:tcPr>
            <w:tcW w:w="847"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证号</w:t>
            </w:r>
          </w:p>
        </w:tc>
        <w:tc>
          <w:tcPr>
            <w:tcW w:w="732" w:type="dxa"/>
            <w:noWrap w:val="0"/>
            <w:vAlign w:val="center"/>
          </w:tcPr>
          <w:p>
            <w:pPr>
              <w:widowControl/>
              <w:spacing w:line="360" w:lineRule="atLeast"/>
              <w:jc w:val="left"/>
              <w:outlineLvl w:val="1"/>
              <w:rPr>
                <w:rFonts w:hint="eastAsia" w:ascii="宋体"/>
                <w:sz w:val="24"/>
                <w:highlight w:val="none"/>
              </w:rPr>
            </w:pPr>
            <w:r>
              <w:rPr>
                <w:rFonts w:hint="eastAsia" w:ascii="宋体"/>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noWrap w:val="0"/>
            <w:vAlign w:val="top"/>
          </w:tcPr>
          <w:p>
            <w:pPr>
              <w:widowControl/>
              <w:spacing w:line="360" w:lineRule="atLeast"/>
              <w:jc w:val="left"/>
              <w:outlineLvl w:val="1"/>
              <w:rPr>
                <w:rFonts w:hint="eastAsia" w:ascii="宋体"/>
                <w:sz w:val="24"/>
                <w:highlight w:val="none"/>
              </w:rPr>
            </w:pPr>
            <w:r>
              <w:rPr>
                <w:rFonts w:hint="eastAsia" w:ascii="宋体"/>
                <w:sz w:val="24"/>
                <w:highlight w:val="none"/>
              </w:rPr>
              <w:t>管理</w:t>
            </w:r>
          </w:p>
          <w:p>
            <w:pPr>
              <w:widowControl/>
              <w:spacing w:line="360" w:lineRule="atLeast"/>
              <w:jc w:val="left"/>
              <w:outlineLvl w:val="1"/>
              <w:rPr>
                <w:rFonts w:hint="eastAsia" w:ascii="宋体"/>
                <w:sz w:val="24"/>
                <w:highlight w:val="none"/>
              </w:rPr>
            </w:pPr>
            <w:r>
              <w:rPr>
                <w:rFonts w:hint="eastAsia" w:ascii="宋体"/>
                <w:sz w:val="24"/>
                <w:highlight w:val="none"/>
              </w:rPr>
              <w:t>人员</w:t>
            </w: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51" w:type="dxa"/>
            <w:noWrap w:val="0"/>
            <w:vAlign w:val="top"/>
          </w:tcPr>
          <w:p>
            <w:pPr>
              <w:widowControl/>
              <w:spacing w:line="360" w:lineRule="atLeast"/>
              <w:ind w:firstLine="470" w:firstLineChars="196"/>
              <w:jc w:val="left"/>
              <w:outlineLvl w:val="1"/>
              <w:rPr>
                <w:rFonts w:hint="eastAsia" w:ascii="宋体"/>
                <w:sz w:val="24"/>
                <w:highlight w:val="none"/>
              </w:rPr>
            </w:pPr>
          </w:p>
        </w:tc>
        <w:tc>
          <w:tcPr>
            <w:tcW w:w="960" w:type="dxa"/>
            <w:noWrap w:val="0"/>
            <w:vAlign w:val="top"/>
          </w:tcPr>
          <w:p>
            <w:pPr>
              <w:widowControl/>
              <w:spacing w:line="360" w:lineRule="atLeast"/>
              <w:ind w:firstLine="470" w:firstLineChars="196"/>
              <w:jc w:val="left"/>
              <w:outlineLvl w:val="1"/>
              <w:rPr>
                <w:rFonts w:hint="eastAsia" w:ascii="宋体"/>
                <w:sz w:val="24"/>
                <w:highlight w:val="none"/>
              </w:rPr>
            </w:pPr>
          </w:p>
        </w:tc>
        <w:tc>
          <w:tcPr>
            <w:tcW w:w="847" w:type="dxa"/>
            <w:noWrap w:val="0"/>
            <w:vAlign w:val="top"/>
          </w:tcPr>
          <w:p>
            <w:pPr>
              <w:widowControl/>
              <w:spacing w:line="360" w:lineRule="atLeast"/>
              <w:ind w:firstLine="470" w:firstLineChars="196"/>
              <w:jc w:val="left"/>
              <w:outlineLvl w:val="1"/>
              <w:rPr>
                <w:rFonts w:hint="eastAsia" w:ascii="宋体"/>
                <w:sz w:val="24"/>
                <w:highlight w:val="none"/>
              </w:rPr>
            </w:pPr>
          </w:p>
        </w:tc>
        <w:tc>
          <w:tcPr>
            <w:tcW w:w="732" w:type="dxa"/>
            <w:noWrap w:val="0"/>
            <w:vAlign w:val="top"/>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jc w:val="center"/>
        </w:trPr>
        <w:tc>
          <w:tcPr>
            <w:tcW w:w="954" w:type="dxa"/>
            <w:vMerge w:val="continue"/>
            <w:noWrap w:val="0"/>
            <w:vAlign w:val="top"/>
          </w:tcPr>
          <w:p>
            <w:pPr>
              <w:rPr>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51" w:type="dxa"/>
            <w:noWrap w:val="0"/>
            <w:vAlign w:val="top"/>
          </w:tcPr>
          <w:p>
            <w:pPr>
              <w:widowControl/>
              <w:spacing w:line="360" w:lineRule="atLeast"/>
              <w:ind w:firstLine="470" w:firstLineChars="196"/>
              <w:jc w:val="left"/>
              <w:outlineLvl w:val="1"/>
              <w:rPr>
                <w:rFonts w:hint="eastAsia" w:ascii="宋体"/>
                <w:sz w:val="24"/>
                <w:highlight w:val="none"/>
              </w:rPr>
            </w:pPr>
          </w:p>
        </w:tc>
        <w:tc>
          <w:tcPr>
            <w:tcW w:w="960" w:type="dxa"/>
            <w:noWrap w:val="0"/>
            <w:vAlign w:val="top"/>
          </w:tcPr>
          <w:p>
            <w:pPr>
              <w:widowControl/>
              <w:spacing w:line="360" w:lineRule="atLeast"/>
              <w:ind w:firstLine="470" w:firstLineChars="196"/>
              <w:jc w:val="left"/>
              <w:outlineLvl w:val="1"/>
              <w:rPr>
                <w:rFonts w:hint="eastAsia" w:ascii="宋体"/>
                <w:sz w:val="24"/>
                <w:highlight w:val="none"/>
              </w:rPr>
            </w:pPr>
          </w:p>
        </w:tc>
        <w:tc>
          <w:tcPr>
            <w:tcW w:w="847" w:type="dxa"/>
            <w:noWrap w:val="0"/>
            <w:vAlign w:val="top"/>
          </w:tcPr>
          <w:p>
            <w:pPr>
              <w:widowControl/>
              <w:spacing w:line="360" w:lineRule="atLeast"/>
              <w:ind w:firstLine="470" w:firstLineChars="196"/>
              <w:jc w:val="left"/>
              <w:outlineLvl w:val="1"/>
              <w:rPr>
                <w:rFonts w:hint="eastAsia" w:ascii="宋体"/>
                <w:sz w:val="24"/>
                <w:highlight w:val="none"/>
              </w:rPr>
            </w:pPr>
          </w:p>
        </w:tc>
        <w:tc>
          <w:tcPr>
            <w:tcW w:w="732" w:type="dxa"/>
            <w:noWrap w:val="0"/>
            <w:vAlign w:val="top"/>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noWrap w:val="0"/>
            <w:vAlign w:val="top"/>
          </w:tcPr>
          <w:p>
            <w:pPr>
              <w:rPr>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51" w:type="dxa"/>
            <w:noWrap w:val="0"/>
            <w:vAlign w:val="top"/>
          </w:tcPr>
          <w:p>
            <w:pPr>
              <w:widowControl/>
              <w:spacing w:line="360" w:lineRule="atLeast"/>
              <w:ind w:firstLine="470" w:firstLineChars="196"/>
              <w:jc w:val="left"/>
              <w:outlineLvl w:val="1"/>
              <w:rPr>
                <w:rFonts w:hint="eastAsia" w:ascii="宋体"/>
                <w:sz w:val="24"/>
                <w:highlight w:val="none"/>
              </w:rPr>
            </w:pPr>
          </w:p>
        </w:tc>
        <w:tc>
          <w:tcPr>
            <w:tcW w:w="960" w:type="dxa"/>
            <w:noWrap w:val="0"/>
            <w:vAlign w:val="top"/>
          </w:tcPr>
          <w:p>
            <w:pPr>
              <w:widowControl/>
              <w:spacing w:line="360" w:lineRule="atLeast"/>
              <w:ind w:firstLine="470" w:firstLineChars="196"/>
              <w:jc w:val="left"/>
              <w:outlineLvl w:val="1"/>
              <w:rPr>
                <w:rFonts w:hint="eastAsia" w:ascii="宋体"/>
                <w:sz w:val="24"/>
                <w:highlight w:val="none"/>
              </w:rPr>
            </w:pPr>
          </w:p>
        </w:tc>
        <w:tc>
          <w:tcPr>
            <w:tcW w:w="847" w:type="dxa"/>
            <w:noWrap w:val="0"/>
            <w:vAlign w:val="top"/>
          </w:tcPr>
          <w:p>
            <w:pPr>
              <w:widowControl/>
              <w:spacing w:line="360" w:lineRule="atLeast"/>
              <w:ind w:firstLine="470" w:firstLineChars="196"/>
              <w:jc w:val="left"/>
              <w:outlineLvl w:val="1"/>
              <w:rPr>
                <w:rFonts w:hint="eastAsia" w:ascii="宋体"/>
                <w:sz w:val="24"/>
                <w:highlight w:val="none"/>
              </w:rPr>
            </w:pPr>
          </w:p>
        </w:tc>
        <w:tc>
          <w:tcPr>
            <w:tcW w:w="732" w:type="dxa"/>
            <w:noWrap w:val="0"/>
            <w:vAlign w:val="top"/>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noWrap w:val="0"/>
            <w:vAlign w:val="top"/>
          </w:tcPr>
          <w:p>
            <w:pPr>
              <w:widowControl/>
              <w:spacing w:line="360" w:lineRule="atLeast"/>
              <w:jc w:val="left"/>
              <w:outlineLvl w:val="1"/>
              <w:rPr>
                <w:rFonts w:hint="eastAsia" w:ascii="宋体"/>
                <w:sz w:val="24"/>
                <w:highlight w:val="none"/>
              </w:rPr>
            </w:pPr>
            <w:r>
              <w:rPr>
                <w:rFonts w:hint="eastAsia" w:ascii="宋体"/>
                <w:sz w:val="24"/>
                <w:highlight w:val="none"/>
              </w:rPr>
              <w:t>技术</w:t>
            </w:r>
          </w:p>
          <w:p>
            <w:pPr>
              <w:widowControl/>
              <w:spacing w:line="360" w:lineRule="atLeast"/>
              <w:jc w:val="left"/>
              <w:outlineLvl w:val="1"/>
              <w:rPr>
                <w:rFonts w:hint="eastAsia" w:ascii="宋体"/>
                <w:sz w:val="24"/>
                <w:highlight w:val="none"/>
              </w:rPr>
            </w:pPr>
            <w:r>
              <w:rPr>
                <w:rFonts w:hint="eastAsia" w:ascii="宋体"/>
                <w:sz w:val="24"/>
                <w:highlight w:val="none"/>
              </w:rPr>
              <w:t>人员</w:t>
            </w: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51" w:type="dxa"/>
            <w:noWrap w:val="0"/>
            <w:vAlign w:val="top"/>
          </w:tcPr>
          <w:p>
            <w:pPr>
              <w:widowControl/>
              <w:spacing w:line="360" w:lineRule="atLeast"/>
              <w:ind w:firstLine="470" w:firstLineChars="196"/>
              <w:jc w:val="left"/>
              <w:outlineLvl w:val="1"/>
              <w:rPr>
                <w:rFonts w:hint="eastAsia" w:ascii="宋体"/>
                <w:sz w:val="24"/>
                <w:highlight w:val="none"/>
              </w:rPr>
            </w:pPr>
          </w:p>
        </w:tc>
        <w:tc>
          <w:tcPr>
            <w:tcW w:w="960" w:type="dxa"/>
            <w:noWrap w:val="0"/>
            <w:vAlign w:val="top"/>
          </w:tcPr>
          <w:p>
            <w:pPr>
              <w:widowControl/>
              <w:spacing w:line="360" w:lineRule="atLeast"/>
              <w:ind w:firstLine="470" w:firstLineChars="196"/>
              <w:jc w:val="left"/>
              <w:outlineLvl w:val="1"/>
              <w:rPr>
                <w:rFonts w:hint="eastAsia" w:ascii="宋体"/>
                <w:sz w:val="24"/>
                <w:highlight w:val="none"/>
              </w:rPr>
            </w:pPr>
          </w:p>
        </w:tc>
        <w:tc>
          <w:tcPr>
            <w:tcW w:w="847" w:type="dxa"/>
            <w:noWrap w:val="0"/>
            <w:vAlign w:val="top"/>
          </w:tcPr>
          <w:p>
            <w:pPr>
              <w:widowControl/>
              <w:spacing w:line="360" w:lineRule="atLeast"/>
              <w:ind w:firstLine="470" w:firstLineChars="196"/>
              <w:jc w:val="left"/>
              <w:outlineLvl w:val="1"/>
              <w:rPr>
                <w:rFonts w:hint="eastAsia" w:ascii="宋体"/>
                <w:sz w:val="24"/>
                <w:highlight w:val="none"/>
              </w:rPr>
            </w:pPr>
          </w:p>
        </w:tc>
        <w:tc>
          <w:tcPr>
            <w:tcW w:w="732" w:type="dxa"/>
            <w:noWrap w:val="0"/>
            <w:vAlign w:val="top"/>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noWrap w:val="0"/>
            <w:vAlign w:val="top"/>
          </w:tcPr>
          <w:p>
            <w:pPr>
              <w:rPr>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51" w:type="dxa"/>
            <w:noWrap w:val="0"/>
            <w:vAlign w:val="top"/>
          </w:tcPr>
          <w:p>
            <w:pPr>
              <w:widowControl/>
              <w:spacing w:line="360" w:lineRule="atLeast"/>
              <w:ind w:firstLine="470" w:firstLineChars="196"/>
              <w:jc w:val="left"/>
              <w:outlineLvl w:val="1"/>
              <w:rPr>
                <w:rFonts w:hint="eastAsia" w:ascii="宋体"/>
                <w:sz w:val="24"/>
                <w:highlight w:val="none"/>
              </w:rPr>
            </w:pPr>
          </w:p>
        </w:tc>
        <w:tc>
          <w:tcPr>
            <w:tcW w:w="960" w:type="dxa"/>
            <w:noWrap w:val="0"/>
            <w:vAlign w:val="top"/>
          </w:tcPr>
          <w:p>
            <w:pPr>
              <w:widowControl/>
              <w:spacing w:line="360" w:lineRule="atLeast"/>
              <w:ind w:firstLine="470" w:firstLineChars="196"/>
              <w:jc w:val="left"/>
              <w:outlineLvl w:val="1"/>
              <w:rPr>
                <w:rFonts w:hint="eastAsia" w:ascii="宋体"/>
                <w:sz w:val="24"/>
                <w:highlight w:val="none"/>
              </w:rPr>
            </w:pPr>
          </w:p>
        </w:tc>
        <w:tc>
          <w:tcPr>
            <w:tcW w:w="847" w:type="dxa"/>
            <w:noWrap w:val="0"/>
            <w:vAlign w:val="top"/>
          </w:tcPr>
          <w:p>
            <w:pPr>
              <w:widowControl/>
              <w:spacing w:line="360" w:lineRule="atLeast"/>
              <w:ind w:firstLine="470" w:firstLineChars="196"/>
              <w:jc w:val="left"/>
              <w:outlineLvl w:val="1"/>
              <w:rPr>
                <w:rFonts w:hint="eastAsia" w:ascii="宋体"/>
                <w:sz w:val="24"/>
                <w:highlight w:val="none"/>
              </w:rPr>
            </w:pPr>
          </w:p>
        </w:tc>
        <w:tc>
          <w:tcPr>
            <w:tcW w:w="732" w:type="dxa"/>
            <w:noWrap w:val="0"/>
            <w:vAlign w:val="top"/>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jc w:val="center"/>
        </w:trPr>
        <w:tc>
          <w:tcPr>
            <w:tcW w:w="954" w:type="dxa"/>
            <w:vMerge w:val="continue"/>
            <w:noWrap w:val="0"/>
            <w:vAlign w:val="top"/>
          </w:tcPr>
          <w:p>
            <w:pPr>
              <w:rPr>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51" w:type="dxa"/>
            <w:noWrap w:val="0"/>
            <w:vAlign w:val="top"/>
          </w:tcPr>
          <w:p>
            <w:pPr>
              <w:widowControl/>
              <w:spacing w:line="360" w:lineRule="atLeast"/>
              <w:ind w:firstLine="470" w:firstLineChars="196"/>
              <w:jc w:val="left"/>
              <w:outlineLvl w:val="1"/>
              <w:rPr>
                <w:rFonts w:hint="eastAsia" w:ascii="宋体"/>
                <w:sz w:val="24"/>
                <w:highlight w:val="none"/>
              </w:rPr>
            </w:pPr>
          </w:p>
        </w:tc>
        <w:tc>
          <w:tcPr>
            <w:tcW w:w="960" w:type="dxa"/>
            <w:noWrap w:val="0"/>
            <w:vAlign w:val="top"/>
          </w:tcPr>
          <w:p>
            <w:pPr>
              <w:widowControl/>
              <w:spacing w:line="360" w:lineRule="atLeast"/>
              <w:ind w:firstLine="470" w:firstLineChars="196"/>
              <w:jc w:val="left"/>
              <w:outlineLvl w:val="1"/>
              <w:rPr>
                <w:rFonts w:hint="eastAsia" w:ascii="宋体"/>
                <w:sz w:val="24"/>
                <w:highlight w:val="none"/>
              </w:rPr>
            </w:pPr>
          </w:p>
        </w:tc>
        <w:tc>
          <w:tcPr>
            <w:tcW w:w="847" w:type="dxa"/>
            <w:noWrap w:val="0"/>
            <w:vAlign w:val="top"/>
          </w:tcPr>
          <w:p>
            <w:pPr>
              <w:widowControl/>
              <w:spacing w:line="360" w:lineRule="atLeast"/>
              <w:ind w:firstLine="470" w:firstLineChars="196"/>
              <w:jc w:val="left"/>
              <w:outlineLvl w:val="1"/>
              <w:rPr>
                <w:rFonts w:hint="eastAsia" w:ascii="宋体"/>
                <w:sz w:val="24"/>
                <w:highlight w:val="none"/>
              </w:rPr>
            </w:pPr>
          </w:p>
        </w:tc>
        <w:tc>
          <w:tcPr>
            <w:tcW w:w="732" w:type="dxa"/>
            <w:noWrap w:val="0"/>
            <w:vAlign w:val="top"/>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noWrap w:val="0"/>
            <w:vAlign w:val="top"/>
          </w:tcPr>
          <w:p>
            <w:pPr>
              <w:widowControl/>
              <w:spacing w:line="360" w:lineRule="atLeast"/>
              <w:jc w:val="left"/>
              <w:outlineLvl w:val="1"/>
              <w:rPr>
                <w:rFonts w:hint="eastAsia" w:ascii="宋体"/>
                <w:sz w:val="24"/>
                <w:highlight w:val="none"/>
              </w:rPr>
            </w:pPr>
            <w:r>
              <w:rPr>
                <w:rFonts w:hint="eastAsia" w:ascii="宋体"/>
                <w:sz w:val="24"/>
                <w:highlight w:val="none"/>
              </w:rPr>
              <w:t>售后服务人员</w:t>
            </w: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51" w:type="dxa"/>
            <w:noWrap w:val="0"/>
            <w:vAlign w:val="top"/>
          </w:tcPr>
          <w:p>
            <w:pPr>
              <w:widowControl/>
              <w:spacing w:line="360" w:lineRule="atLeast"/>
              <w:ind w:firstLine="470" w:firstLineChars="196"/>
              <w:jc w:val="left"/>
              <w:outlineLvl w:val="1"/>
              <w:rPr>
                <w:rFonts w:hint="eastAsia" w:ascii="宋体"/>
                <w:sz w:val="24"/>
                <w:highlight w:val="none"/>
              </w:rPr>
            </w:pPr>
          </w:p>
        </w:tc>
        <w:tc>
          <w:tcPr>
            <w:tcW w:w="960" w:type="dxa"/>
            <w:noWrap w:val="0"/>
            <w:vAlign w:val="top"/>
          </w:tcPr>
          <w:p>
            <w:pPr>
              <w:widowControl/>
              <w:spacing w:line="360" w:lineRule="atLeast"/>
              <w:ind w:firstLine="470" w:firstLineChars="196"/>
              <w:jc w:val="left"/>
              <w:outlineLvl w:val="1"/>
              <w:rPr>
                <w:rFonts w:hint="eastAsia" w:ascii="宋体"/>
                <w:sz w:val="24"/>
                <w:highlight w:val="none"/>
              </w:rPr>
            </w:pPr>
          </w:p>
        </w:tc>
        <w:tc>
          <w:tcPr>
            <w:tcW w:w="847" w:type="dxa"/>
            <w:noWrap w:val="0"/>
            <w:vAlign w:val="top"/>
          </w:tcPr>
          <w:p>
            <w:pPr>
              <w:widowControl/>
              <w:spacing w:line="360" w:lineRule="atLeast"/>
              <w:ind w:firstLine="470" w:firstLineChars="196"/>
              <w:jc w:val="left"/>
              <w:outlineLvl w:val="1"/>
              <w:rPr>
                <w:rFonts w:hint="eastAsia" w:ascii="宋体"/>
                <w:sz w:val="24"/>
                <w:highlight w:val="none"/>
              </w:rPr>
            </w:pPr>
          </w:p>
        </w:tc>
        <w:tc>
          <w:tcPr>
            <w:tcW w:w="732" w:type="dxa"/>
            <w:noWrap w:val="0"/>
            <w:vAlign w:val="top"/>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noWrap w:val="0"/>
            <w:vAlign w:val="top"/>
          </w:tcPr>
          <w:p>
            <w:pPr>
              <w:rPr>
                <w:highlight w:val="none"/>
              </w:rPr>
            </w:pPr>
          </w:p>
        </w:tc>
        <w:tc>
          <w:tcPr>
            <w:tcW w:w="807" w:type="dxa"/>
            <w:tcBorders>
              <w:bottom w:val="single" w:color="auto" w:sz="4" w:space="0"/>
            </w:tcBorders>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07" w:type="dxa"/>
            <w:noWrap w:val="0"/>
            <w:vAlign w:val="top"/>
          </w:tcPr>
          <w:p>
            <w:pPr>
              <w:widowControl/>
              <w:spacing w:line="360" w:lineRule="atLeast"/>
              <w:ind w:firstLine="470" w:firstLineChars="196"/>
              <w:jc w:val="left"/>
              <w:outlineLvl w:val="1"/>
              <w:rPr>
                <w:rFonts w:hint="eastAsia" w:ascii="宋体"/>
                <w:sz w:val="24"/>
                <w:highlight w:val="none"/>
              </w:rPr>
            </w:pPr>
          </w:p>
        </w:tc>
        <w:tc>
          <w:tcPr>
            <w:tcW w:w="851" w:type="dxa"/>
            <w:noWrap w:val="0"/>
            <w:vAlign w:val="top"/>
          </w:tcPr>
          <w:p>
            <w:pPr>
              <w:widowControl/>
              <w:spacing w:line="360" w:lineRule="atLeast"/>
              <w:ind w:firstLine="470" w:firstLineChars="196"/>
              <w:jc w:val="left"/>
              <w:outlineLvl w:val="1"/>
              <w:rPr>
                <w:rFonts w:hint="eastAsia" w:ascii="宋体"/>
                <w:sz w:val="24"/>
                <w:highlight w:val="none"/>
              </w:rPr>
            </w:pPr>
          </w:p>
        </w:tc>
        <w:tc>
          <w:tcPr>
            <w:tcW w:w="960" w:type="dxa"/>
            <w:noWrap w:val="0"/>
            <w:vAlign w:val="top"/>
          </w:tcPr>
          <w:p>
            <w:pPr>
              <w:widowControl/>
              <w:spacing w:line="360" w:lineRule="atLeast"/>
              <w:ind w:firstLine="470" w:firstLineChars="196"/>
              <w:jc w:val="left"/>
              <w:outlineLvl w:val="1"/>
              <w:rPr>
                <w:rFonts w:hint="eastAsia" w:ascii="宋体"/>
                <w:sz w:val="24"/>
                <w:highlight w:val="none"/>
              </w:rPr>
            </w:pPr>
          </w:p>
        </w:tc>
        <w:tc>
          <w:tcPr>
            <w:tcW w:w="847" w:type="dxa"/>
            <w:noWrap w:val="0"/>
            <w:vAlign w:val="top"/>
          </w:tcPr>
          <w:p>
            <w:pPr>
              <w:widowControl/>
              <w:spacing w:line="360" w:lineRule="atLeast"/>
              <w:ind w:firstLine="470" w:firstLineChars="196"/>
              <w:jc w:val="left"/>
              <w:outlineLvl w:val="1"/>
              <w:rPr>
                <w:rFonts w:hint="eastAsia" w:ascii="宋体"/>
                <w:sz w:val="24"/>
                <w:highlight w:val="none"/>
              </w:rPr>
            </w:pPr>
          </w:p>
        </w:tc>
        <w:tc>
          <w:tcPr>
            <w:tcW w:w="732" w:type="dxa"/>
            <w:noWrap w:val="0"/>
            <w:vAlign w:val="top"/>
          </w:tcPr>
          <w:p>
            <w:pPr>
              <w:widowControl/>
              <w:spacing w:line="360" w:lineRule="atLeast"/>
              <w:ind w:firstLine="470" w:firstLineChars="196"/>
              <w:jc w:val="left"/>
              <w:outlineLvl w:val="1"/>
              <w:rPr>
                <w:rFonts w:hint="eastAsia" w:ascii="宋体"/>
                <w:sz w:val="24"/>
                <w:highlight w:val="none"/>
              </w:rPr>
            </w:pPr>
          </w:p>
        </w:tc>
      </w:tr>
    </w:tbl>
    <w:p>
      <w:pPr>
        <w:widowControl/>
        <w:spacing w:line="360" w:lineRule="atLeast"/>
        <w:ind w:firstLine="470" w:firstLineChars="196"/>
        <w:jc w:val="left"/>
        <w:outlineLvl w:val="1"/>
        <w:rPr>
          <w:rFonts w:hint="eastAsia" w:ascii="宋体"/>
          <w:sz w:val="24"/>
          <w:highlight w:val="none"/>
        </w:rPr>
      </w:pP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供应商名称：XXXX（单位盖章）。</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法定代表人/单位负责人或授权代表（签字或加盖个人名章）：XXXX。</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比选日期: XXXX。</w:t>
      </w:r>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2" w:firstLineChars="196"/>
        <w:jc w:val="left"/>
        <w:outlineLvl w:val="1"/>
        <w:rPr>
          <w:rFonts w:hint="eastAsia" w:ascii="宋体"/>
          <w:b/>
          <w:sz w:val="24"/>
          <w:highlight w:val="none"/>
        </w:rPr>
      </w:pPr>
    </w:p>
    <w:p>
      <w:pPr>
        <w:widowControl/>
        <w:spacing w:line="360" w:lineRule="atLeast"/>
        <w:ind w:firstLine="472" w:firstLineChars="196"/>
        <w:jc w:val="left"/>
        <w:outlineLvl w:val="1"/>
        <w:rPr>
          <w:rFonts w:hint="eastAsia" w:ascii="宋体"/>
          <w:b/>
          <w:sz w:val="24"/>
          <w:highlight w:val="none"/>
        </w:rPr>
      </w:pPr>
    </w:p>
    <w:p>
      <w:pPr>
        <w:widowControl/>
        <w:spacing w:line="360" w:lineRule="atLeast"/>
        <w:jc w:val="center"/>
        <w:outlineLvl w:val="1"/>
        <w:rPr>
          <w:rFonts w:ascii="黑体" w:eastAsia="黑体"/>
          <w:b/>
          <w:sz w:val="32"/>
          <w:szCs w:val="32"/>
          <w:highlight w:val="none"/>
        </w:rPr>
      </w:pPr>
      <w:r>
        <w:rPr>
          <w:rFonts w:hint="eastAsia" w:ascii="宋体"/>
          <w:b/>
          <w:sz w:val="24"/>
          <w:highlight w:val="none"/>
        </w:rPr>
        <w:br w:type="page"/>
      </w:r>
      <w:r>
        <w:rPr>
          <w:rFonts w:hint="eastAsia" w:ascii="黑体" w:eastAsia="黑体"/>
          <w:b/>
          <w:sz w:val="32"/>
          <w:szCs w:val="32"/>
          <w:highlight w:val="none"/>
        </w:rPr>
        <w:t>十一、供应商诚信情况承诺函</w:t>
      </w:r>
    </w:p>
    <w:p>
      <w:pPr>
        <w:spacing w:line="360" w:lineRule="auto"/>
        <w:rPr>
          <w:rFonts w:hAnsi="宋体"/>
          <w:bCs/>
          <w:sz w:val="24"/>
          <w:highlight w:val="none"/>
        </w:rPr>
      </w:pPr>
    </w:p>
    <w:p>
      <w:pPr>
        <w:spacing w:line="360" w:lineRule="auto"/>
        <w:rPr>
          <w:rFonts w:hAnsi="宋体"/>
          <w:bCs/>
          <w:sz w:val="24"/>
          <w:highlight w:val="none"/>
        </w:rPr>
      </w:pPr>
      <w:r>
        <w:rPr>
          <w:rFonts w:hint="eastAsia" w:hAnsi="宋体"/>
          <w:bCs/>
          <w:sz w:val="24"/>
          <w:highlight w:val="none"/>
        </w:rPr>
        <w:t>致</w:t>
      </w:r>
      <w:r>
        <w:rPr>
          <w:rFonts w:hint="eastAsia" w:hAnsi="宋体"/>
          <w:bCs/>
          <w:sz w:val="24"/>
          <w:highlight w:val="none"/>
          <w:lang w:eastAsia="zh-CN"/>
        </w:rPr>
        <w:t>四川省文物局</w:t>
      </w:r>
      <w:r>
        <w:rPr>
          <w:rFonts w:hint="eastAsia" w:hAnsi="宋体"/>
          <w:bCs/>
          <w:sz w:val="24"/>
          <w:highlight w:val="none"/>
        </w:rPr>
        <w:t xml:space="preserve">： </w:t>
      </w:r>
    </w:p>
    <w:p>
      <w:pPr>
        <w:spacing w:line="360" w:lineRule="auto"/>
        <w:rPr>
          <w:rFonts w:hAnsi="宋体"/>
          <w:sz w:val="24"/>
          <w:highlight w:val="none"/>
        </w:rPr>
      </w:pPr>
      <w:r>
        <w:rPr>
          <w:rFonts w:hint="eastAsia" w:hAnsi="宋体"/>
          <w:bCs/>
          <w:sz w:val="24"/>
          <w:highlight w:val="none"/>
        </w:rPr>
        <w:t xml:space="preserve">    本单位</w:t>
      </w:r>
      <w:r>
        <w:rPr>
          <w:rFonts w:hint="eastAsia" w:hAnsi="宋体"/>
          <w:bCs/>
          <w:sz w:val="24"/>
          <w:highlight w:val="none"/>
          <w:u w:val="single"/>
        </w:rPr>
        <w:t xml:space="preserve">                   （供应商名称）</w:t>
      </w:r>
      <w:r>
        <w:rPr>
          <w:rFonts w:hint="eastAsia" w:hAnsi="宋体"/>
          <w:bCs/>
          <w:sz w:val="24"/>
          <w:highlight w:val="none"/>
        </w:rPr>
        <w:t xml:space="preserve">参加 </w:t>
      </w:r>
      <w:r>
        <w:rPr>
          <w:rFonts w:hint="eastAsia" w:hAnsi="宋体"/>
          <w:bCs/>
          <w:sz w:val="24"/>
          <w:highlight w:val="none"/>
          <w:u w:val="single"/>
        </w:rPr>
        <w:t xml:space="preserve">                （项目名称）</w:t>
      </w:r>
      <w:r>
        <w:rPr>
          <w:rFonts w:hint="eastAsia" w:hAnsi="宋体"/>
          <w:bCs/>
          <w:sz w:val="24"/>
          <w:highlight w:val="none"/>
        </w:rPr>
        <w:t>的政府采购活动，</w:t>
      </w:r>
      <w:r>
        <w:rPr>
          <w:rFonts w:hint="eastAsia" w:hAnsi="宋体"/>
          <w:sz w:val="24"/>
          <w:highlight w:val="none"/>
        </w:rPr>
        <w:t>现根据《</w:t>
      </w:r>
      <w:r>
        <w:rPr>
          <w:rFonts w:hAnsi="宋体"/>
          <w:sz w:val="24"/>
          <w:highlight w:val="none"/>
        </w:rPr>
        <w:t>四川省政府采购当事人诚信管理办法</w:t>
      </w:r>
      <w:r>
        <w:rPr>
          <w:rFonts w:hint="eastAsia" w:hAnsi="宋体"/>
          <w:sz w:val="24"/>
          <w:highlight w:val="none"/>
        </w:rPr>
        <w:t>》川财采〔2015〕33号的相关规定，针</w:t>
      </w:r>
      <w:r>
        <w:rPr>
          <w:rFonts w:hint="eastAsia" w:hAnsi="宋体"/>
          <w:bCs/>
          <w:sz w:val="24"/>
          <w:highlight w:val="none"/>
        </w:rPr>
        <w:t>对本单位的诚信情况作出以下承诺：</w:t>
      </w:r>
    </w:p>
    <w:p>
      <w:pPr>
        <w:spacing w:line="360" w:lineRule="auto"/>
        <w:ind w:firstLine="480" w:firstLineChars="200"/>
        <w:rPr>
          <w:rFonts w:hint="eastAsia" w:hAnsi="宋体"/>
          <w:bCs/>
          <w:sz w:val="24"/>
          <w:highlight w:val="none"/>
        </w:rPr>
      </w:pPr>
    </w:p>
    <w:p>
      <w:pPr>
        <w:spacing w:line="360" w:lineRule="auto"/>
        <w:ind w:firstLine="480" w:firstLineChars="200"/>
        <w:rPr>
          <w:rFonts w:hAnsi="宋体"/>
          <w:bCs/>
          <w:sz w:val="24"/>
          <w:highlight w:val="none"/>
        </w:rPr>
      </w:pPr>
      <w:r>
        <w:rPr>
          <w:rFonts w:hint="eastAsia" w:hAnsi="宋体"/>
          <w:bCs/>
          <w:sz w:val="24"/>
          <w:highlight w:val="none"/>
        </w:rPr>
        <w:t>我单位具有</w:t>
      </w:r>
      <w:r>
        <w:rPr>
          <w:rFonts w:hint="eastAsia" w:hAnsi="宋体"/>
          <w:sz w:val="24"/>
          <w:highlight w:val="none"/>
        </w:rPr>
        <w:t>《四川省政府采购当事人诚信管理办法》（川财采[2015]33号）所规定的失信行为</w:t>
      </w:r>
      <w:r>
        <w:rPr>
          <w:rFonts w:hint="eastAsia" w:hAnsi="宋体"/>
          <w:sz w:val="24"/>
          <w:highlight w:val="none"/>
          <w:u w:val="single"/>
        </w:rPr>
        <w:t xml:space="preserve">      </w:t>
      </w:r>
      <w:r>
        <w:rPr>
          <w:rFonts w:hint="eastAsia" w:hAnsi="宋体"/>
          <w:sz w:val="24"/>
          <w:highlight w:val="none"/>
        </w:rPr>
        <w:t>次（填写失信行为的次数时，建议使用大写数字，如零、壹、贰、叁、肆等。）；</w:t>
      </w:r>
      <w:r>
        <w:rPr>
          <w:rFonts w:hint="eastAsia" w:hAnsi="宋体"/>
          <w:bCs/>
          <w:sz w:val="24"/>
          <w:highlight w:val="none"/>
        </w:rPr>
        <w:t>（仅限比选截止当日仍在有效期的次数）</w:t>
      </w:r>
    </w:p>
    <w:p>
      <w:pPr>
        <w:spacing w:line="360" w:lineRule="auto"/>
        <w:ind w:firstLine="480" w:firstLineChars="200"/>
        <w:rPr>
          <w:rFonts w:hint="eastAsia" w:hAnsi="宋体"/>
          <w:sz w:val="24"/>
          <w:highlight w:val="none"/>
        </w:rPr>
      </w:pPr>
    </w:p>
    <w:p>
      <w:pPr>
        <w:spacing w:line="360" w:lineRule="auto"/>
        <w:ind w:firstLine="480" w:firstLineChars="200"/>
        <w:rPr>
          <w:rFonts w:hAnsi="宋体"/>
          <w:sz w:val="24"/>
          <w:highlight w:val="none"/>
        </w:rPr>
      </w:pPr>
      <w:r>
        <w:rPr>
          <w:rFonts w:hint="eastAsia" w:hAnsi="宋体"/>
          <w:sz w:val="24"/>
          <w:highlight w:val="none"/>
        </w:rPr>
        <w:t>我</w:t>
      </w:r>
      <w:r>
        <w:rPr>
          <w:rFonts w:hint="eastAsia" w:hAnsi="宋体"/>
          <w:bCs/>
          <w:sz w:val="24"/>
          <w:highlight w:val="none"/>
        </w:rPr>
        <w:t>单位</w:t>
      </w:r>
      <w:r>
        <w:rPr>
          <w:rFonts w:hint="eastAsia" w:hAnsi="宋体"/>
          <w:sz w:val="24"/>
          <w:highlight w:val="none"/>
        </w:rPr>
        <w:t>对以上填写信息的真实性负责。如有不实，本</w:t>
      </w:r>
      <w:r>
        <w:rPr>
          <w:rFonts w:hint="eastAsia" w:hAnsi="宋体"/>
          <w:bCs/>
          <w:sz w:val="24"/>
          <w:highlight w:val="none"/>
        </w:rPr>
        <w:t>单位</w:t>
      </w:r>
      <w:r>
        <w:rPr>
          <w:rFonts w:hint="eastAsia" w:hAnsi="宋体"/>
          <w:sz w:val="24"/>
          <w:highlight w:val="none"/>
        </w:rPr>
        <w:t>愿承担由此产生的一切法律责任和后果。</w:t>
      </w:r>
    </w:p>
    <w:p>
      <w:pPr>
        <w:spacing w:line="360" w:lineRule="auto"/>
        <w:rPr>
          <w:rFonts w:hAnsi="宋体"/>
          <w:bCs/>
          <w:sz w:val="24"/>
          <w:highlight w:val="none"/>
        </w:rPr>
      </w:pP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供应商名称：XXXX（单位盖章）。</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法定代表人/单位负责人或授权代表（签字或加盖个人名章）：XXXX。</w:t>
      </w:r>
    </w:p>
    <w:p>
      <w:pPr>
        <w:widowControl/>
        <w:spacing w:line="360" w:lineRule="atLeast"/>
        <w:ind w:firstLine="470" w:firstLineChars="196"/>
        <w:jc w:val="left"/>
        <w:outlineLvl w:val="1"/>
        <w:rPr>
          <w:rFonts w:hint="eastAsia" w:ascii="宋体"/>
          <w:sz w:val="24"/>
          <w:highlight w:val="none"/>
        </w:rPr>
      </w:pPr>
      <w:r>
        <w:rPr>
          <w:rFonts w:hint="eastAsia" w:ascii="宋体"/>
          <w:sz w:val="24"/>
          <w:highlight w:val="none"/>
        </w:rPr>
        <w:t>比选日期: XXXX。</w:t>
      </w:r>
    </w:p>
    <w:p>
      <w:pPr>
        <w:spacing w:line="360" w:lineRule="auto"/>
        <w:rPr>
          <w:rFonts w:hint="eastAsia" w:hAnsi="宋体"/>
          <w:bCs/>
          <w:sz w:val="24"/>
          <w:highlight w:val="none"/>
        </w:rPr>
      </w:pPr>
    </w:p>
    <w:p>
      <w:pPr>
        <w:spacing w:line="360" w:lineRule="auto"/>
        <w:rPr>
          <w:rFonts w:hAnsi="宋体"/>
          <w:bCs/>
          <w:sz w:val="24"/>
          <w:highlight w:val="none"/>
        </w:rPr>
      </w:pPr>
      <w:r>
        <w:rPr>
          <w:rFonts w:hint="eastAsia" w:hAnsi="宋体"/>
          <w:bCs/>
          <w:sz w:val="24"/>
          <w:highlight w:val="none"/>
        </w:rPr>
        <w:t>注：</w:t>
      </w:r>
    </w:p>
    <w:p>
      <w:pPr>
        <w:rPr>
          <w:rFonts w:hint="eastAsia" w:hAnsi="宋体"/>
          <w:bCs/>
          <w:sz w:val="24"/>
          <w:highlight w:val="none"/>
        </w:rPr>
      </w:pPr>
      <w:r>
        <w:rPr>
          <w:rFonts w:hint="eastAsia" w:hAnsi="宋体"/>
          <w:bCs/>
          <w:sz w:val="24"/>
          <w:highlight w:val="none"/>
        </w:rPr>
        <w:t>1、本表格式及内容仅供参考，供应商也可提供自己的格式；</w:t>
      </w:r>
    </w:p>
    <w:p>
      <w:pPr>
        <w:rPr>
          <w:rFonts w:hAnsi="宋体"/>
          <w:bCs/>
          <w:sz w:val="24"/>
          <w:highlight w:val="none"/>
        </w:rPr>
      </w:pPr>
      <w:r>
        <w:rPr>
          <w:rFonts w:hint="eastAsia" w:hAnsi="宋体"/>
          <w:bCs/>
          <w:sz w:val="24"/>
          <w:highlight w:val="none"/>
        </w:rPr>
        <w:t>2、供应商存在以上所述失信行为的，将按照</w:t>
      </w:r>
      <w:r>
        <w:rPr>
          <w:rFonts w:hint="eastAsia" w:hAnsi="宋体"/>
          <w:sz w:val="24"/>
          <w:highlight w:val="none"/>
        </w:rPr>
        <w:t>第一章供应商须知附表第3条的要求进行处理；</w:t>
      </w:r>
    </w:p>
    <w:p>
      <w:pPr>
        <w:rPr>
          <w:rFonts w:hint="eastAsia" w:ascii="宋体" w:hAnsi="宋体"/>
          <w:kern w:val="0"/>
          <w:sz w:val="24"/>
          <w:highlight w:val="none"/>
        </w:rPr>
      </w:pPr>
      <w:r>
        <w:rPr>
          <w:rFonts w:hint="eastAsia" w:hAnsi="宋体"/>
          <w:bCs/>
          <w:sz w:val="24"/>
          <w:highlight w:val="none"/>
        </w:rPr>
        <w:t>3、</w:t>
      </w:r>
      <w:r>
        <w:rPr>
          <w:rFonts w:hAnsi="宋体"/>
          <w:bCs/>
          <w:sz w:val="24"/>
          <w:highlight w:val="none"/>
        </w:rPr>
        <w:t>财政部门对政府采购当事人的失信行为依法进行处罚、处理后，应当在四川政府采购网向社会公告，并记入诚信档案，有效期为1年。工商部门、税务部门、审判机关及其他有关部门单位认定供应商的失信行为明</w:t>
      </w:r>
      <w:r>
        <w:rPr>
          <w:rFonts w:ascii="宋体" w:hAnsi="宋体"/>
          <w:kern w:val="0"/>
          <w:sz w:val="24"/>
          <w:highlight w:val="none"/>
        </w:rPr>
        <w:t>确了有效期的，不再重复计算。</w:t>
      </w:r>
    </w:p>
    <w:p>
      <w:pPr>
        <w:rPr>
          <w:rFonts w:hint="eastAsia" w:hAnsi="宋体"/>
          <w:bCs/>
          <w:sz w:val="24"/>
          <w:highlight w:val="none"/>
        </w:rPr>
      </w:pPr>
      <w:r>
        <w:rPr>
          <w:rFonts w:hint="eastAsia" w:ascii="宋体" w:hAnsi="宋体"/>
          <w:kern w:val="0"/>
          <w:sz w:val="24"/>
          <w:highlight w:val="none"/>
        </w:rPr>
        <w:t>4、</w:t>
      </w:r>
      <w:r>
        <w:rPr>
          <w:rFonts w:hint="eastAsia" w:hAnsi="宋体"/>
          <w:bCs/>
          <w:sz w:val="24"/>
          <w:highlight w:val="none"/>
        </w:rPr>
        <w:t>供应商的失信行为受到行政处罚或司法惩处的，评审时不再对其以价格加成进行惩戒。</w:t>
      </w:r>
    </w:p>
    <w:p>
      <w:pPr>
        <w:rPr>
          <w:rFonts w:hint="eastAsia" w:hAnsi="宋体"/>
          <w:bCs/>
          <w:sz w:val="24"/>
          <w:highlight w:val="none"/>
        </w:rPr>
      </w:pPr>
    </w:p>
    <w:p>
      <w:pPr>
        <w:pStyle w:val="10"/>
        <w:rPr>
          <w:rFonts w:hint="eastAsia" w:hAnsi="宋体"/>
          <w:bCs/>
          <w:sz w:val="24"/>
          <w:highlight w:val="none"/>
        </w:rPr>
      </w:pPr>
    </w:p>
    <w:p>
      <w:pPr>
        <w:rPr>
          <w:rFonts w:hint="eastAsia" w:hAnsi="宋体"/>
          <w:bCs/>
          <w:sz w:val="24"/>
          <w:highlight w:val="none"/>
        </w:rPr>
      </w:pPr>
    </w:p>
    <w:p>
      <w:pPr>
        <w:pStyle w:val="10"/>
        <w:rPr>
          <w:rFonts w:hint="eastAsia" w:hAnsi="宋体"/>
          <w:bCs/>
          <w:sz w:val="24"/>
          <w:highlight w:val="none"/>
        </w:rPr>
      </w:pPr>
    </w:p>
    <w:p>
      <w:pPr>
        <w:rPr>
          <w:rFonts w:hint="eastAsia" w:hAnsi="宋体"/>
          <w:bCs/>
          <w:sz w:val="24"/>
          <w:highlight w:val="none"/>
        </w:rPr>
      </w:pPr>
    </w:p>
    <w:p>
      <w:pPr>
        <w:pStyle w:val="10"/>
        <w:rPr>
          <w:rFonts w:hint="eastAsia"/>
          <w:highlight w:val="none"/>
        </w:rPr>
      </w:pPr>
    </w:p>
    <w:p>
      <w:pPr>
        <w:widowControl/>
        <w:spacing w:line="360" w:lineRule="atLeast"/>
        <w:jc w:val="center"/>
        <w:outlineLvl w:val="1"/>
        <w:rPr>
          <w:rFonts w:ascii="黑体" w:eastAsia="黑体"/>
          <w:b/>
          <w:sz w:val="32"/>
          <w:szCs w:val="32"/>
          <w:highlight w:val="none"/>
        </w:rPr>
      </w:pPr>
      <w:r>
        <w:rPr>
          <w:rFonts w:hint="eastAsia" w:ascii="黑体" w:eastAsia="黑体"/>
          <w:b/>
          <w:sz w:val="32"/>
          <w:szCs w:val="32"/>
          <w:highlight w:val="none"/>
        </w:rPr>
        <w:t>十二、中小企业（监狱企业）申明函</w:t>
      </w:r>
    </w:p>
    <w:p>
      <w:pPr>
        <w:spacing w:line="360" w:lineRule="auto"/>
        <w:ind w:firstLine="480" w:firstLineChars="200"/>
        <w:jc w:val="left"/>
        <w:rPr>
          <w:rFonts w:hint="eastAsia" w:hAnsi="宋体"/>
          <w:sz w:val="24"/>
          <w:highlight w:val="none"/>
        </w:rPr>
      </w:pPr>
    </w:p>
    <w:p>
      <w:pPr>
        <w:spacing w:line="360" w:lineRule="auto"/>
        <w:ind w:firstLine="480" w:firstLineChars="200"/>
        <w:jc w:val="left"/>
        <w:rPr>
          <w:rFonts w:hint="eastAsia" w:hAnsi="宋体"/>
          <w:sz w:val="24"/>
          <w:highlight w:val="none"/>
        </w:rPr>
      </w:pPr>
      <w:r>
        <w:rPr>
          <w:rFonts w:hint="eastAsia" w:hAnsi="宋体"/>
          <w:sz w:val="24"/>
          <w:highlight w:val="none"/>
        </w:rPr>
        <w:t>本公司郑重声明，根据《政府采购促进中小企业发展暂行办法》（财库〔2011〕181号）或</w:t>
      </w:r>
      <w:r>
        <w:rPr>
          <w:rFonts w:hint="eastAsia" w:hAnsi="宋体" w:cs="仿宋"/>
          <w:sz w:val="24"/>
          <w:highlight w:val="none"/>
        </w:rPr>
        <w:t>《政府采购支持监狱企业发展有关问题的通知》</w:t>
      </w:r>
      <w:r>
        <w:rPr>
          <w:rFonts w:hint="eastAsia" w:hAnsi="宋体"/>
          <w:sz w:val="24"/>
          <w:highlight w:val="none"/>
        </w:rPr>
        <w:t>（财库〔2014〕68号）的规定，本公司为______（请填写：中型、小型、微型或监狱）企业。即，本公司同时满足以下条件：</w:t>
      </w:r>
      <w:r>
        <w:rPr>
          <w:rFonts w:hint="eastAsia" w:hAnsi="宋体"/>
          <w:sz w:val="24"/>
          <w:highlight w:val="none"/>
        </w:rPr>
        <w:br w:type="textWrapping"/>
      </w:r>
      <w:r>
        <w:rPr>
          <w:rFonts w:hint="eastAsia" w:hAnsi="宋体"/>
          <w:sz w:val="24"/>
          <w:highlight w:val="none"/>
        </w:rPr>
        <w:t>　　1.根据《工业和信息化部、国家统计局、国家发展和改革委员会、财政部关于印发中小企业划型标准规定的通知》（工信部联企业〔2011〕300号）或</w:t>
      </w:r>
      <w:r>
        <w:rPr>
          <w:rFonts w:hint="eastAsia" w:hAnsi="宋体" w:cs="仿宋"/>
          <w:sz w:val="24"/>
          <w:highlight w:val="none"/>
        </w:rPr>
        <w:t>《政府采购支持监狱企业发展有关问题的通知》</w:t>
      </w:r>
      <w:r>
        <w:rPr>
          <w:rFonts w:hint="eastAsia" w:hAnsi="宋体"/>
          <w:sz w:val="24"/>
          <w:highlight w:val="none"/>
        </w:rPr>
        <w:t>（财库〔2014〕68号）规定的划分标准，本公司为______（请填写：中型、小型、微型或监狱）企业。</w:t>
      </w:r>
      <w:r>
        <w:rPr>
          <w:rFonts w:hint="eastAsia" w:hAnsi="宋体"/>
          <w:sz w:val="24"/>
          <w:highlight w:val="none"/>
        </w:rPr>
        <w:br w:type="textWrapping"/>
      </w:r>
      <w:r>
        <w:rPr>
          <w:rFonts w:hint="eastAsia" w:hAnsi="宋体"/>
          <w:sz w:val="24"/>
          <w:highlight w:val="none"/>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r>
        <w:rPr>
          <w:rFonts w:hint="eastAsia" w:hAnsi="宋体"/>
          <w:sz w:val="24"/>
          <w:highlight w:val="none"/>
        </w:rPr>
        <w:br w:type="textWrapping"/>
      </w:r>
      <w:r>
        <w:rPr>
          <w:rFonts w:hint="eastAsia" w:hAnsi="宋体"/>
          <w:sz w:val="24"/>
          <w:highlight w:val="none"/>
        </w:rPr>
        <w:t>　　本公司对上述声明的真实性负责。如有虚假，将依法承担相应责任。</w:t>
      </w:r>
    </w:p>
    <w:p>
      <w:pPr>
        <w:spacing w:line="360" w:lineRule="auto"/>
        <w:ind w:firstLine="480" w:firstLineChars="200"/>
        <w:rPr>
          <w:rFonts w:hint="eastAsia" w:hAnsi="宋体"/>
          <w:sz w:val="24"/>
          <w:highlight w:val="none"/>
        </w:rPr>
      </w:pPr>
    </w:p>
    <w:p>
      <w:pPr>
        <w:spacing w:line="360" w:lineRule="auto"/>
        <w:jc w:val="left"/>
        <w:rPr>
          <w:rFonts w:hint="eastAsia" w:hAnsi="宋体"/>
          <w:sz w:val="24"/>
          <w:highlight w:val="none"/>
        </w:rPr>
      </w:pPr>
      <w:r>
        <w:rPr>
          <w:rFonts w:hint="eastAsia" w:hAnsi="宋体"/>
          <w:sz w:val="24"/>
          <w:highlight w:val="none"/>
        </w:rPr>
        <w:t>企业名称（盖章）：</w:t>
      </w:r>
      <w:r>
        <w:rPr>
          <w:rFonts w:hint="eastAsia" w:hAnsi="宋体"/>
          <w:sz w:val="24"/>
          <w:highlight w:val="none"/>
        </w:rPr>
        <w:br w:type="textWrapping"/>
      </w:r>
      <w:r>
        <w:rPr>
          <w:rFonts w:hint="eastAsia" w:hAnsi="宋体"/>
          <w:sz w:val="24"/>
          <w:highlight w:val="none"/>
        </w:rPr>
        <w:t>日   期：　　</w:t>
      </w:r>
    </w:p>
    <w:p>
      <w:pPr>
        <w:spacing w:line="360" w:lineRule="auto"/>
        <w:rPr>
          <w:rFonts w:hint="eastAsia" w:hAnsi="宋体"/>
          <w:b/>
          <w:bCs/>
          <w:sz w:val="24"/>
          <w:highlight w:val="none"/>
        </w:rPr>
      </w:pPr>
      <w:bookmarkStart w:id="124" w:name="_Toc417911732"/>
      <w:bookmarkStart w:id="125" w:name="_Toc387147344"/>
      <w:bookmarkStart w:id="126" w:name="_Toc419811733"/>
      <w:bookmarkStart w:id="127" w:name="_Toc413748654"/>
      <w:bookmarkStart w:id="128" w:name="_Toc387658050"/>
    </w:p>
    <w:p>
      <w:pPr>
        <w:spacing w:line="360" w:lineRule="auto"/>
        <w:rPr>
          <w:rFonts w:hint="eastAsia" w:hAnsi="宋体"/>
          <w:b/>
          <w:bCs/>
          <w:sz w:val="24"/>
          <w:highlight w:val="none"/>
        </w:rPr>
      </w:pPr>
      <w:r>
        <w:rPr>
          <w:rFonts w:hint="eastAsia" w:hAnsi="宋体"/>
          <w:b/>
          <w:bCs/>
          <w:sz w:val="24"/>
          <w:highlight w:val="none"/>
        </w:rPr>
        <w:t>注：</w:t>
      </w:r>
    </w:p>
    <w:p>
      <w:pPr>
        <w:spacing w:line="360" w:lineRule="auto"/>
        <w:rPr>
          <w:rFonts w:hint="eastAsia" w:hAnsi="宋体"/>
          <w:b/>
          <w:bCs/>
          <w:sz w:val="24"/>
          <w:highlight w:val="none"/>
        </w:rPr>
      </w:pPr>
      <w:r>
        <w:rPr>
          <w:rFonts w:hint="eastAsia" w:hAnsi="宋体"/>
          <w:b/>
          <w:bCs/>
          <w:sz w:val="24"/>
          <w:highlight w:val="none"/>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124"/>
      <w:bookmarkEnd w:id="125"/>
      <w:bookmarkEnd w:id="126"/>
      <w:bookmarkEnd w:id="127"/>
      <w:bookmarkEnd w:id="128"/>
    </w:p>
    <w:p>
      <w:pPr>
        <w:spacing w:line="360" w:lineRule="auto"/>
        <w:rPr>
          <w:rFonts w:hint="eastAsia" w:hAnsi="宋体"/>
          <w:highlight w:val="none"/>
        </w:rPr>
      </w:pPr>
      <w:r>
        <w:rPr>
          <w:rFonts w:hint="eastAsia" w:hAnsi="宋体"/>
          <w:b/>
          <w:bCs/>
          <w:sz w:val="24"/>
          <w:highlight w:val="none"/>
        </w:rPr>
        <w:t>2、</w:t>
      </w:r>
      <w:r>
        <w:rPr>
          <w:rFonts w:hAnsi="宋体"/>
          <w:b/>
          <w:bCs/>
          <w:sz w:val="24"/>
          <w:highlight w:val="none"/>
        </w:rPr>
        <w:t>在政府采购活动中，监狱企业视同小型、微型企业，享受预留份额、评审中价格扣除等政府采购促进中小企业发展的政府采购政策</w:t>
      </w:r>
      <w:r>
        <w:rPr>
          <w:rFonts w:hint="eastAsia" w:hAnsi="宋体"/>
          <w:b/>
          <w:bCs/>
          <w:sz w:val="24"/>
          <w:highlight w:val="none"/>
        </w:rPr>
        <w:t>。（</w:t>
      </w:r>
      <w:r>
        <w:rPr>
          <w:rFonts w:hAnsi="宋体"/>
          <w:b/>
          <w:bCs/>
          <w:sz w:val="24"/>
          <w:highlight w:val="none"/>
        </w:rPr>
        <w:t>监狱企业参加政府采购活动时，</w:t>
      </w:r>
      <w:r>
        <w:rPr>
          <w:rFonts w:hint="eastAsia" w:hAnsi="宋体"/>
          <w:b/>
          <w:bCs/>
          <w:sz w:val="24"/>
          <w:highlight w:val="none"/>
        </w:rPr>
        <w:t>还</w:t>
      </w:r>
      <w:r>
        <w:rPr>
          <w:rFonts w:hAnsi="宋体"/>
          <w:b/>
          <w:bCs/>
          <w:sz w:val="24"/>
          <w:highlight w:val="none"/>
        </w:rPr>
        <w:t>应当提供由省级以上监狱管理局、戒毒管理局(含新疆生产建设兵团)出具的属于监狱企业的证明文件。</w:t>
      </w:r>
      <w:r>
        <w:rPr>
          <w:rFonts w:hint="eastAsia" w:hAnsi="宋体"/>
          <w:b/>
          <w:bCs/>
          <w:sz w:val="24"/>
          <w:highlight w:val="none"/>
        </w:rPr>
        <w:t>）</w:t>
      </w:r>
    </w:p>
    <w:p>
      <w:pPr>
        <w:pStyle w:val="4"/>
        <w:jc w:val="center"/>
        <w:rPr>
          <w:rFonts w:hint="eastAsia"/>
          <w:sz w:val="36"/>
          <w:szCs w:val="36"/>
          <w:highlight w:val="none"/>
        </w:rPr>
      </w:pPr>
      <w:bookmarkStart w:id="129" w:name="_Toc28495"/>
      <w:r>
        <w:rPr>
          <w:rFonts w:hint="eastAsia"/>
          <w:sz w:val="36"/>
          <w:szCs w:val="36"/>
          <w:highlight w:val="none"/>
        </w:rPr>
        <w:br w:type="page"/>
      </w:r>
      <w:bookmarkStart w:id="130" w:name="_Toc6956"/>
      <w:r>
        <w:rPr>
          <w:rFonts w:hint="eastAsia"/>
          <w:sz w:val="36"/>
          <w:szCs w:val="36"/>
          <w:highlight w:val="none"/>
        </w:rPr>
        <w:t>第三章  供应商和比选产品的资格、资质性及其他类似效力要求</w:t>
      </w:r>
      <w:bookmarkEnd w:id="129"/>
      <w:bookmarkEnd w:id="130"/>
    </w:p>
    <w:p>
      <w:pPr>
        <w:rPr>
          <w:rFonts w:hint="eastAsia"/>
          <w:highlight w:val="none"/>
        </w:rPr>
      </w:pPr>
    </w:p>
    <w:p>
      <w:pPr>
        <w:pStyle w:val="5"/>
        <w:spacing w:line="360" w:lineRule="exact"/>
        <w:rPr>
          <w:rFonts w:hint="eastAsia" w:ascii="宋体" w:eastAsia="宋体"/>
          <w:sz w:val="24"/>
          <w:szCs w:val="24"/>
          <w:highlight w:val="none"/>
        </w:rPr>
      </w:pPr>
      <w:r>
        <w:rPr>
          <w:rFonts w:hint="eastAsia"/>
          <w:sz w:val="24"/>
          <w:szCs w:val="24"/>
          <w:highlight w:val="none"/>
        </w:rPr>
        <w:t>一、</w:t>
      </w:r>
      <w:r>
        <w:rPr>
          <w:rFonts w:hint="eastAsia" w:ascii="宋体" w:eastAsia="宋体"/>
          <w:sz w:val="24"/>
          <w:szCs w:val="24"/>
          <w:highlight w:val="none"/>
        </w:rPr>
        <w:t>供应商资格、资质性及其他类似效力要求</w:t>
      </w:r>
    </w:p>
    <w:p>
      <w:pPr>
        <w:pStyle w:val="43"/>
        <w:spacing w:line="420" w:lineRule="exact"/>
        <w:ind w:firstLine="0" w:firstLineChars="0"/>
        <w:rPr>
          <w:rFonts w:hint="eastAsia" w:ascii="宋体"/>
          <w:b/>
          <w:bCs/>
          <w:sz w:val="24"/>
          <w:highlight w:val="none"/>
        </w:rPr>
      </w:pPr>
      <w:r>
        <w:rPr>
          <w:b/>
          <w:bCs/>
          <w:sz w:val="24"/>
          <w:highlight w:val="none"/>
        </w:rPr>
        <w:t>（一）</w:t>
      </w:r>
      <w:r>
        <w:rPr>
          <w:rFonts w:hint="eastAsia"/>
          <w:b/>
          <w:bCs/>
          <w:sz w:val="24"/>
          <w:highlight w:val="none"/>
        </w:rPr>
        <w:t>资格要求</w:t>
      </w:r>
      <w:r>
        <w:rPr>
          <w:rFonts w:hint="eastAsia" w:ascii="宋体"/>
          <w:b/>
          <w:bCs/>
          <w:sz w:val="24"/>
          <w:highlight w:val="none"/>
        </w:rPr>
        <w:t>：</w:t>
      </w:r>
    </w:p>
    <w:p>
      <w:pPr>
        <w:pStyle w:val="43"/>
        <w:spacing w:line="420" w:lineRule="exact"/>
        <w:ind w:firstLine="0" w:firstLineChars="0"/>
        <w:rPr>
          <w:rFonts w:hint="eastAsia"/>
          <w:sz w:val="24"/>
          <w:highlight w:val="none"/>
        </w:rPr>
      </w:pPr>
      <w:r>
        <w:rPr>
          <w:rFonts w:hint="eastAsia"/>
          <w:sz w:val="24"/>
          <w:highlight w:val="none"/>
        </w:rPr>
        <w:t>1、具有独立承担民事责任的能力</w:t>
      </w:r>
      <w:r>
        <w:rPr>
          <w:sz w:val="24"/>
          <w:highlight w:val="none"/>
        </w:rPr>
        <w:t>；</w:t>
      </w:r>
    </w:p>
    <w:p>
      <w:pPr>
        <w:tabs>
          <w:tab w:val="left" w:pos="7665"/>
        </w:tabs>
        <w:spacing w:line="400" w:lineRule="exact"/>
        <w:rPr>
          <w:rFonts w:hint="eastAsia" w:ascii="宋体"/>
          <w:sz w:val="24"/>
          <w:highlight w:val="none"/>
        </w:rPr>
      </w:pPr>
      <w:r>
        <w:rPr>
          <w:rFonts w:hint="eastAsia"/>
          <w:sz w:val="24"/>
          <w:highlight w:val="none"/>
        </w:rPr>
        <w:t>2、</w:t>
      </w:r>
      <w:r>
        <w:rPr>
          <w:rFonts w:hint="eastAsia" w:ascii="宋体"/>
          <w:sz w:val="24"/>
          <w:highlight w:val="none"/>
        </w:rPr>
        <w:t>具有良好的商业信誉和健全的财务会计制度；</w:t>
      </w:r>
    </w:p>
    <w:p>
      <w:pPr>
        <w:tabs>
          <w:tab w:val="left" w:pos="7665"/>
        </w:tabs>
        <w:spacing w:line="400" w:lineRule="exact"/>
        <w:rPr>
          <w:rFonts w:hint="eastAsia" w:ascii="宋体"/>
          <w:sz w:val="24"/>
          <w:highlight w:val="none"/>
        </w:rPr>
      </w:pPr>
      <w:r>
        <w:rPr>
          <w:rFonts w:hint="eastAsia" w:ascii="宋体"/>
          <w:sz w:val="24"/>
          <w:highlight w:val="none"/>
        </w:rPr>
        <w:t>3、具有履行合同所必须的设备和专业技术能力；</w:t>
      </w:r>
    </w:p>
    <w:p>
      <w:pPr>
        <w:tabs>
          <w:tab w:val="left" w:pos="7665"/>
        </w:tabs>
        <w:spacing w:line="400" w:lineRule="exact"/>
        <w:rPr>
          <w:rFonts w:hint="eastAsia" w:ascii="宋体"/>
          <w:sz w:val="24"/>
          <w:highlight w:val="none"/>
        </w:rPr>
      </w:pPr>
      <w:r>
        <w:rPr>
          <w:rFonts w:hint="eastAsia" w:ascii="宋体"/>
          <w:sz w:val="24"/>
          <w:highlight w:val="none"/>
        </w:rPr>
        <w:t>4、具有依法缴纳税收和社会保障资金的良好记录；</w:t>
      </w:r>
    </w:p>
    <w:p>
      <w:pPr>
        <w:tabs>
          <w:tab w:val="left" w:pos="7665"/>
        </w:tabs>
        <w:spacing w:line="400" w:lineRule="exact"/>
        <w:rPr>
          <w:rFonts w:hint="eastAsia" w:ascii="宋体"/>
          <w:sz w:val="24"/>
          <w:highlight w:val="none"/>
        </w:rPr>
      </w:pPr>
      <w:r>
        <w:rPr>
          <w:rFonts w:hint="eastAsia" w:ascii="宋体"/>
          <w:sz w:val="24"/>
          <w:highlight w:val="none"/>
        </w:rPr>
        <w:t>5、参加本次政府采购活动前三年内，在经营活动中没有重大违法记录。</w:t>
      </w:r>
    </w:p>
    <w:p>
      <w:pPr>
        <w:pStyle w:val="43"/>
        <w:spacing w:line="420" w:lineRule="exact"/>
        <w:ind w:firstLine="0" w:firstLineChars="0"/>
        <w:rPr>
          <w:rFonts w:hint="eastAsia"/>
          <w:sz w:val="24"/>
          <w:highlight w:val="none"/>
        </w:rPr>
      </w:pPr>
      <w:r>
        <w:rPr>
          <w:rFonts w:hint="eastAsia" w:ascii="宋体" w:hAnsi="宋体" w:eastAsia="宋体" w:cs="宋体"/>
          <w:sz w:val="24"/>
          <w:highlight w:val="none"/>
        </w:rPr>
        <w:t>6、</w:t>
      </w:r>
      <w:r>
        <w:rPr>
          <w:rFonts w:hint="eastAsia"/>
          <w:sz w:val="24"/>
          <w:highlight w:val="none"/>
        </w:rPr>
        <w:t>具备法律、行政法规规定的其他条件。</w:t>
      </w:r>
    </w:p>
    <w:p>
      <w:pPr>
        <w:pStyle w:val="43"/>
        <w:spacing w:line="420" w:lineRule="exact"/>
        <w:ind w:firstLine="0" w:firstLineChars="0"/>
        <w:rPr>
          <w:rFonts w:hint="eastAsia" w:ascii="宋体" w:hAnsi="宋体" w:cs="宋体"/>
          <w:highlight w:val="none"/>
        </w:rPr>
      </w:pPr>
      <w:r>
        <w:rPr>
          <w:rFonts w:hint="eastAsia" w:ascii="宋体" w:hAnsi="宋体" w:cs="宋体"/>
          <w:sz w:val="24"/>
          <w:highlight w:val="none"/>
        </w:rPr>
        <w:t>7、本项目不接受联合体比选。</w:t>
      </w:r>
    </w:p>
    <w:p>
      <w:pPr>
        <w:pStyle w:val="43"/>
        <w:spacing w:line="420" w:lineRule="exact"/>
        <w:ind w:firstLine="0" w:firstLineChars="0"/>
        <w:rPr>
          <w:rFonts w:hint="eastAsia"/>
          <w:b/>
          <w:bCs/>
          <w:sz w:val="24"/>
          <w:highlight w:val="none"/>
        </w:rPr>
      </w:pPr>
      <w:r>
        <w:rPr>
          <w:rFonts w:hint="eastAsia"/>
          <w:b/>
          <w:bCs/>
          <w:sz w:val="24"/>
          <w:highlight w:val="none"/>
        </w:rPr>
        <w:t>（二）资质性要求：无</w:t>
      </w:r>
    </w:p>
    <w:p>
      <w:pPr>
        <w:pStyle w:val="43"/>
        <w:spacing w:line="420" w:lineRule="exact"/>
        <w:ind w:firstLine="0" w:firstLineChars="0"/>
        <w:rPr>
          <w:rFonts w:hint="eastAsia"/>
          <w:b/>
          <w:bCs/>
          <w:sz w:val="24"/>
          <w:highlight w:val="none"/>
        </w:rPr>
      </w:pPr>
      <w:r>
        <w:rPr>
          <w:rFonts w:hint="eastAsia"/>
          <w:b/>
          <w:bCs/>
          <w:sz w:val="24"/>
          <w:highlight w:val="none"/>
        </w:rPr>
        <w:t>（三）其他类似效力要求：</w:t>
      </w:r>
    </w:p>
    <w:p>
      <w:pPr>
        <w:pStyle w:val="43"/>
        <w:spacing w:line="420" w:lineRule="exact"/>
        <w:ind w:firstLine="0" w:firstLineChars="0"/>
        <w:rPr>
          <w:rFonts w:hint="eastAsia"/>
          <w:b/>
          <w:sz w:val="24"/>
          <w:highlight w:val="none"/>
        </w:rPr>
      </w:pPr>
      <w:r>
        <w:rPr>
          <w:rFonts w:hint="eastAsia"/>
          <w:sz w:val="24"/>
          <w:highlight w:val="none"/>
        </w:rPr>
        <w:t>（1）授权参加本次比选活动的供应商代表证明材料</w:t>
      </w:r>
    </w:p>
    <w:p>
      <w:pPr>
        <w:pStyle w:val="5"/>
        <w:spacing w:line="360" w:lineRule="exact"/>
        <w:rPr>
          <w:rFonts w:ascii="宋体" w:hAnsi="宋体" w:eastAsia="宋体"/>
          <w:sz w:val="24"/>
          <w:szCs w:val="24"/>
          <w:highlight w:val="none"/>
        </w:rPr>
      </w:pPr>
      <w:r>
        <w:rPr>
          <w:rFonts w:hint="eastAsia"/>
          <w:b w:val="0"/>
          <w:bCs w:val="0"/>
          <w:sz w:val="24"/>
          <w:szCs w:val="24"/>
          <w:highlight w:val="none"/>
        </w:rPr>
        <w:t>二、</w:t>
      </w:r>
      <w:r>
        <w:rPr>
          <w:rFonts w:hint="eastAsia" w:ascii="宋体" w:hAnsi="宋体" w:eastAsia="宋体"/>
          <w:sz w:val="24"/>
          <w:szCs w:val="24"/>
          <w:highlight w:val="none"/>
        </w:rPr>
        <w:t>比选产品的资格、资质性及其他具有类似效力的要求</w:t>
      </w:r>
    </w:p>
    <w:p>
      <w:pPr>
        <w:rPr>
          <w:b/>
          <w:bCs/>
          <w:sz w:val="24"/>
          <w:highlight w:val="none"/>
        </w:rPr>
      </w:pPr>
      <w:r>
        <w:rPr>
          <w:rFonts w:hint="eastAsia" w:hAnsi="宋体"/>
          <w:b/>
          <w:bCs/>
          <w:sz w:val="24"/>
          <w:highlight w:val="none"/>
        </w:rPr>
        <w:t>（一）资格要求：无</w:t>
      </w:r>
    </w:p>
    <w:p>
      <w:pPr>
        <w:rPr>
          <w:b/>
          <w:bCs/>
          <w:sz w:val="24"/>
          <w:highlight w:val="none"/>
        </w:rPr>
      </w:pPr>
      <w:r>
        <w:rPr>
          <w:rFonts w:hint="eastAsia" w:hAnsi="宋体"/>
          <w:b/>
          <w:bCs/>
          <w:sz w:val="24"/>
          <w:highlight w:val="none"/>
        </w:rPr>
        <w:t>（二）资质性要求：无</w:t>
      </w:r>
    </w:p>
    <w:p>
      <w:pPr>
        <w:rPr>
          <w:rFonts w:hint="eastAsia" w:hAnsi="宋体"/>
          <w:b/>
          <w:bCs/>
          <w:sz w:val="24"/>
          <w:highlight w:val="none"/>
        </w:rPr>
      </w:pPr>
      <w:r>
        <w:rPr>
          <w:rFonts w:hint="eastAsia" w:hAnsi="宋体"/>
          <w:b/>
          <w:bCs/>
          <w:sz w:val="24"/>
          <w:highlight w:val="none"/>
        </w:rPr>
        <w:t>（三）其他类似效力要求：无</w:t>
      </w:r>
    </w:p>
    <w:p>
      <w:pPr>
        <w:pStyle w:val="43"/>
        <w:spacing w:line="420" w:lineRule="exact"/>
        <w:ind w:firstLine="0" w:firstLineChars="0"/>
        <w:rPr>
          <w:rFonts w:hint="eastAsia" w:ascii="宋体"/>
          <w:b/>
          <w:sz w:val="24"/>
          <w:highlight w:val="none"/>
        </w:rPr>
      </w:pPr>
      <w:r>
        <w:rPr>
          <w:rFonts w:hint="eastAsia"/>
          <w:b/>
          <w:sz w:val="24"/>
          <w:highlight w:val="none"/>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20000元。</w:t>
      </w:r>
    </w:p>
    <w:p>
      <w:pPr>
        <w:pStyle w:val="43"/>
        <w:spacing w:line="420" w:lineRule="exact"/>
        <w:ind w:firstLine="472" w:firstLineChars="196"/>
        <w:rPr>
          <w:rFonts w:hint="eastAsia"/>
          <w:b/>
          <w:sz w:val="24"/>
          <w:highlight w:val="none"/>
        </w:rPr>
      </w:pPr>
      <w:r>
        <w:rPr>
          <w:rFonts w:hint="eastAsia" w:ascii="宋体"/>
          <w:b/>
          <w:sz w:val="24"/>
          <w:highlight w:val="none"/>
        </w:rPr>
        <w:t>2、</w:t>
      </w:r>
      <w:r>
        <w:rPr>
          <w:rFonts w:hint="eastAsia"/>
          <w:b/>
          <w:sz w:val="24"/>
          <w:highlight w:val="none"/>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rPr>
          <w:rFonts w:hint="eastAsia"/>
          <w:highlight w:val="none"/>
        </w:rPr>
      </w:pPr>
    </w:p>
    <w:p>
      <w:pPr>
        <w:pStyle w:val="4"/>
        <w:jc w:val="center"/>
        <w:rPr>
          <w:rFonts w:hint="eastAsia"/>
          <w:sz w:val="36"/>
          <w:szCs w:val="36"/>
          <w:highlight w:val="none"/>
        </w:rPr>
      </w:pPr>
      <w:bookmarkStart w:id="131" w:name="_Toc1588"/>
      <w:r>
        <w:rPr>
          <w:rFonts w:hint="eastAsia"/>
          <w:sz w:val="36"/>
          <w:szCs w:val="36"/>
          <w:highlight w:val="none"/>
        </w:rPr>
        <w:br w:type="page"/>
      </w:r>
      <w:bookmarkStart w:id="132" w:name="_Toc29169"/>
      <w:r>
        <w:rPr>
          <w:rFonts w:hint="eastAsia"/>
          <w:sz w:val="36"/>
          <w:szCs w:val="36"/>
          <w:highlight w:val="none"/>
        </w:rPr>
        <w:t>第四章  供应商应当提供的资格、资质性及其他类似效力要求的相关证明材料</w:t>
      </w:r>
      <w:bookmarkEnd w:id="131"/>
      <w:bookmarkEnd w:id="132"/>
    </w:p>
    <w:p>
      <w:pPr>
        <w:rPr>
          <w:rFonts w:hint="eastAsia"/>
          <w:highlight w:val="none"/>
        </w:rPr>
      </w:pPr>
    </w:p>
    <w:p>
      <w:pPr>
        <w:pStyle w:val="5"/>
        <w:spacing w:line="360" w:lineRule="exact"/>
        <w:rPr>
          <w:rFonts w:hint="eastAsia" w:ascii="宋体" w:eastAsia="宋体"/>
          <w:sz w:val="24"/>
          <w:szCs w:val="24"/>
          <w:highlight w:val="none"/>
        </w:rPr>
      </w:pPr>
      <w:r>
        <w:rPr>
          <w:rFonts w:hint="eastAsia" w:ascii="宋体" w:eastAsia="宋体"/>
          <w:sz w:val="24"/>
          <w:szCs w:val="24"/>
          <w:highlight w:val="none"/>
        </w:rPr>
        <w:t>一、应当提供的供应商资格、资质性及其他类似效力要求的相关证明材料</w:t>
      </w:r>
    </w:p>
    <w:p>
      <w:pPr>
        <w:rPr>
          <w:rFonts w:hAnsi="宋体"/>
          <w:b/>
          <w:bCs/>
          <w:sz w:val="24"/>
          <w:highlight w:val="none"/>
        </w:rPr>
      </w:pPr>
      <w:r>
        <w:rPr>
          <w:rFonts w:hint="eastAsia" w:hAnsi="宋体"/>
          <w:b/>
          <w:bCs/>
          <w:sz w:val="24"/>
          <w:highlight w:val="none"/>
        </w:rPr>
        <w:t>（一）资格要求相关证明材料：</w:t>
      </w:r>
    </w:p>
    <w:p>
      <w:pPr>
        <w:pStyle w:val="43"/>
        <w:spacing w:line="420" w:lineRule="exact"/>
        <w:ind w:firstLine="0" w:firstLineChars="0"/>
        <w:rPr>
          <w:rFonts w:hint="eastAsia"/>
          <w:sz w:val="24"/>
          <w:highlight w:val="none"/>
        </w:rPr>
      </w:pPr>
      <w:r>
        <w:rPr>
          <w:rFonts w:hint="eastAsia"/>
          <w:sz w:val="24"/>
          <w:highlight w:val="none"/>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w:t>
      </w:r>
    </w:p>
    <w:p>
      <w:pPr>
        <w:pStyle w:val="43"/>
        <w:spacing w:line="420" w:lineRule="exact"/>
        <w:ind w:firstLine="0" w:firstLineChars="0"/>
        <w:rPr>
          <w:rFonts w:hint="eastAsia"/>
          <w:sz w:val="24"/>
          <w:highlight w:val="none"/>
        </w:rPr>
      </w:pPr>
      <w:r>
        <w:rPr>
          <w:rFonts w:hint="eastAsia"/>
          <w:sz w:val="24"/>
          <w:highlight w:val="none"/>
        </w:rPr>
        <w:t>2、具备良好商业信誉的证明材料（可提供承诺函）；</w:t>
      </w:r>
    </w:p>
    <w:p>
      <w:pPr>
        <w:pStyle w:val="43"/>
        <w:spacing w:line="420" w:lineRule="exact"/>
        <w:ind w:firstLine="0" w:firstLineChars="0"/>
        <w:rPr>
          <w:rFonts w:hint="eastAsia"/>
          <w:sz w:val="24"/>
          <w:highlight w:val="none"/>
        </w:rPr>
      </w:pPr>
      <w:r>
        <w:rPr>
          <w:rFonts w:hint="eastAsia"/>
          <w:sz w:val="24"/>
          <w:highlight w:val="none"/>
        </w:rPr>
        <w:t>3、具备健全的财务会计制度的证明材料。｛注：①可提供</w:t>
      </w:r>
      <w:r>
        <w:rPr>
          <w:rFonts w:hint="eastAsia"/>
          <w:sz w:val="24"/>
          <w:highlight w:val="none"/>
          <w:lang w:val="en-US" w:eastAsia="zh-CN"/>
        </w:rPr>
        <w:t>2021</w:t>
      </w:r>
      <w:r>
        <w:rPr>
          <w:rFonts w:hint="eastAsia"/>
          <w:sz w:val="24"/>
          <w:highlight w:val="none"/>
        </w:rPr>
        <w:t>或</w:t>
      </w:r>
      <w:r>
        <w:rPr>
          <w:rFonts w:hint="eastAsia"/>
          <w:sz w:val="24"/>
          <w:highlight w:val="none"/>
          <w:lang w:val="en-US" w:eastAsia="zh-CN"/>
        </w:rPr>
        <w:t>2022</w:t>
      </w:r>
      <w:r>
        <w:rPr>
          <w:rFonts w:hint="eastAsia"/>
          <w:sz w:val="24"/>
          <w:highlight w:val="none"/>
        </w:rPr>
        <w:t>年度供应商内部的财务报表复印件（至少包含资产负债表），②也可提供距文件递交截止日一年内银行出具的资信证明（复印件），③供应商注册时间至文件递交截止日不足一年的，也可提供在工商备案的公司章程（复印件）。｝</w:t>
      </w:r>
    </w:p>
    <w:p>
      <w:pPr>
        <w:pStyle w:val="43"/>
        <w:spacing w:line="420" w:lineRule="exact"/>
        <w:ind w:firstLine="0" w:firstLineChars="0"/>
        <w:rPr>
          <w:rFonts w:hint="eastAsia"/>
          <w:sz w:val="24"/>
          <w:highlight w:val="none"/>
        </w:rPr>
      </w:pPr>
      <w:r>
        <w:rPr>
          <w:rFonts w:hint="eastAsia"/>
          <w:sz w:val="24"/>
          <w:highlight w:val="none"/>
        </w:rPr>
        <w:t>4、具有依法缴纳税收和社会保障资金的良好记录（可提供承诺函）；</w:t>
      </w:r>
    </w:p>
    <w:p>
      <w:pPr>
        <w:pStyle w:val="43"/>
        <w:spacing w:line="420" w:lineRule="exact"/>
        <w:ind w:firstLine="0" w:firstLineChars="0"/>
        <w:rPr>
          <w:rFonts w:hint="eastAsia"/>
          <w:sz w:val="24"/>
          <w:highlight w:val="none"/>
        </w:rPr>
      </w:pPr>
      <w:r>
        <w:rPr>
          <w:rFonts w:hint="eastAsia"/>
          <w:sz w:val="24"/>
          <w:highlight w:val="none"/>
        </w:rPr>
        <w:t>5、具备履行合同所必需的设备和专业技术能力的证明材料（可提供承诺函）；</w:t>
      </w:r>
    </w:p>
    <w:p>
      <w:pPr>
        <w:pStyle w:val="43"/>
        <w:spacing w:line="420" w:lineRule="exact"/>
        <w:ind w:firstLine="0" w:firstLineChars="0"/>
        <w:rPr>
          <w:rFonts w:hint="eastAsia"/>
          <w:sz w:val="24"/>
          <w:highlight w:val="none"/>
        </w:rPr>
      </w:pPr>
      <w:r>
        <w:rPr>
          <w:rFonts w:hint="eastAsia"/>
          <w:sz w:val="24"/>
          <w:highlight w:val="none"/>
        </w:rPr>
        <w:t>6、参加政府采购活动前3年内在经营活动中没有重大违法记录的承诺函；</w:t>
      </w:r>
    </w:p>
    <w:p>
      <w:pPr>
        <w:pStyle w:val="43"/>
        <w:spacing w:line="420" w:lineRule="exact"/>
        <w:ind w:firstLine="0" w:firstLineChars="0"/>
        <w:rPr>
          <w:rFonts w:hint="eastAsia"/>
          <w:sz w:val="24"/>
          <w:highlight w:val="none"/>
        </w:rPr>
      </w:pPr>
      <w:r>
        <w:rPr>
          <w:rFonts w:hint="eastAsia"/>
          <w:sz w:val="24"/>
          <w:highlight w:val="none"/>
        </w:rPr>
        <w:t>7、具备法律、行政法规规定的其他条件的证明材料（可提供承诺函）；</w:t>
      </w:r>
    </w:p>
    <w:p>
      <w:pPr>
        <w:rPr>
          <w:b/>
          <w:bCs/>
          <w:sz w:val="24"/>
          <w:highlight w:val="none"/>
        </w:rPr>
      </w:pPr>
      <w:r>
        <w:rPr>
          <w:rFonts w:hint="eastAsia" w:hAnsi="宋体"/>
          <w:b/>
          <w:bCs/>
          <w:sz w:val="24"/>
          <w:highlight w:val="none"/>
        </w:rPr>
        <w:t>（二）资质性要求相关证明材料：无</w:t>
      </w:r>
    </w:p>
    <w:p>
      <w:pPr>
        <w:rPr>
          <w:rFonts w:hAnsi="宋体"/>
          <w:b/>
          <w:bCs/>
          <w:sz w:val="24"/>
          <w:highlight w:val="none"/>
        </w:rPr>
      </w:pPr>
      <w:r>
        <w:rPr>
          <w:rFonts w:hint="eastAsia" w:hAnsi="宋体"/>
          <w:b/>
          <w:bCs/>
          <w:sz w:val="24"/>
          <w:highlight w:val="none"/>
        </w:rPr>
        <w:t>（三）其他类似效力要求相关证明材料：</w:t>
      </w:r>
    </w:p>
    <w:p>
      <w:pPr>
        <w:rPr>
          <w:sz w:val="24"/>
          <w:highlight w:val="none"/>
        </w:rPr>
      </w:pPr>
      <w:r>
        <w:rPr>
          <w:rFonts w:hint="eastAsia"/>
          <w:sz w:val="24"/>
          <w:highlight w:val="none"/>
        </w:rPr>
        <w:t>（1）保函或银行下账回单复印件或本代理机构出具的保证金收据复印件或加盖本代理机构财务专用章的保证金交纳证明材料原件（注：①保证金交纳方式、金额符合比选文件要求；②复印件加盖公章或加盖本代理机构财务专用章的原件。）</w:t>
      </w:r>
    </w:p>
    <w:p>
      <w:pPr>
        <w:rPr>
          <w:sz w:val="24"/>
          <w:highlight w:val="none"/>
        </w:rPr>
      </w:pPr>
      <w:r>
        <w:rPr>
          <w:rFonts w:hint="eastAsia"/>
          <w:sz w:val="24"/>
          <w:highlight w:val="none"/>
        </w:rPr>
        <w:t>（2）法定代表人/单位负责人身份证明文件复印件。</w:t>
      </w:r>
    </w:p>
    <w:p>
      <w:pPr>
        <w:rPr>
          <w:sz w:val="24"/>
          <w:highlight w:val="none"/>
        </w:rPr>
      </w:pPr>
      <w:r>
        <w:rPr>
          <w:rFonts w:hint="eastAsia"/>
          <w:sz w:val="24"/>
          <w:highlight w:val="none"/>
        </w:rPr>
        <w:t>（3）法定代表人/单位负责人授权代理书原件及代理人身份证明文件复印件（注：①法定代表人/单位负责人授权代理书原件需加盖公章；②如比选</w:t>
      </w:r>
      <w:r>
        <w:rPr>
          <w:rFonts w:hint="eastAsia"/>
          <w:sz w:val="24"/>
          <w:highlight w:val="none"/>
          <w:lang w:eastAsia="zh-CN"/>
        </w:rPr>
        <w:t>申请</w:t>
      </w:r>
      <w:r>
        <w:rPr>
          <w:rFonts w:hint="eastAsia"/>
          <w:sz w:val="24"/>
          <w:highlight w:val="none"/>
        </w:rPr>
        <w:t>文件均由供应商法定代表人/单位负责人签字的且法定代表人/单位负责人本人参与比选的，则可不提供。）。</w:t>
      </w:r>
    </w:p>
    <w:p>
      <w:pPr>
        <w:pStyle w:val="5"/>
        <w:spacing w:line="360" w:lineRule="exact"/>
        <w:rPr>
          <w:rFonts w:ascii="宋体" w:hAnsi="宋体" w:eastAsia="宋体"/>
          <w:sz w:val="24"/>
          <w:szCs w:val="24"/>
          <w:highlight w:val="none"/>
        </w:rPr>
      </w:pPr>
      <w:r>
        <w:rPr>
          <w:rFonts w:hint="eastAsia"/>
          <w:b w:val="0"/>
          <w:bCs w:val="0"/>
          <w:sz w:val="24"/>
          <w:szCs w:val="24"/>
          <w:highlight w:val="none"/>
        </w:rPr>
        <w:t>二、</w:t>
      </w:r>
      <w:r>
        <w:rPr>
          <w:rFonts w:hint="eastAsia" w:ascii="宋体" w:hAnsi="宋体" w:eastAsia="宋体"/>
          <w:sz w:val="24"/>
          <w:szCs w:val="24"/>
          <w:highlight w:val="none"/>
        </w:rPr>
        <w:t>应当提供的比选产品的资格、资质性及其他具有类似效力的要求的相关证明材料</w:t>
      </w:r>
    </w:p>
    <w:p>
      <w:pPr>
        <w:rPr>
          <w:sz w:val="24"/>
          <w:highlight w:val="none"/>
        </w:rPr>
      </w:pPr>
      <w:r>
        <w:rPr>
          <w:rFonts w:hint="eastAsia" w:hAnsi="宋体"/>
          <w:b/>
          <w:bCs/>
          <w:sz w:val="24"/>
          <w:highlight w:val="none"/>
        </w:rPr>
        <w:t>（一）资格要求相关证明材料：无</w:t>
      </w:r>
    </w:p>
    <w:p>
      <w:pPr>
        <w:rPr>
          <w:b/>
          <w:bCs/>
          <w:sz w:val="24"/>
          <w:highlight w:val="none"/>
        </w:rPr>
      </w:pPr>
      <w:r>
        <w:rPr>
          <w:rFonts w:hint="eastAsia" w:hAnsi="宋体"/>
          <w:b/>
          <w:bCs/>
          <w:sz w:val="24"/>
          <w:highlight w:val="none"/>
        </w:rPr>
        <w:t>（二）资质性要求相关证明材料：无</w:t>
      </w:r>
    </w:p>
    <w:p>
      <w:pPr>
        <w:rPr>
          <w:rFonts w:hAnsi="宋体"/>
          <w:b/>
          <w:bCs/>
          <w:sz w:val="24"/>
          <w:highlight w:val="none"/>
        </w:rPr>
      </w:pPr>
      <w:r>
        <w:rPr>
          <w:rFonts w:hint="eastAsia" w:hAnsi="宋体"/>
          <w:b/>
          <w:bCs/>
          <w:sz w:val="24"/>
          <w:highlight w:val="none"/>
        </w:rPr>
        <w:t>（三）其他类似效力要求相关证明材料：无</w:t>
      </w:r>
    </w:p>
    <w:p>
      <w:pPr>
        <w:rPr>
          <w:rFonts w:hint="eastAsia"/>
          <w:highlight w:val="none"/>
        </w:rPr>
      </w:pPr>
    </w:p>
    <w:p>
      <w:pPr>
        <w:spacing w:line="360" w:lineRule="auto"/>
        <w:rPr>
          <w:rFonts w:hint="eastAsia" w:hAnsi="宋体"/>
          <w:b/>
          <w:bCs/>
          <w:sz w:val="24"/>
          <w:highlight w:val="none"/>
        </w:rPr>
      </w:pPr>
      <w:r>
        <w:rPr>
          <w:rFonts w:hint="eastAsia" w:hAnsi="宋体"/>
          <w:b/>
          <w:bCs/>
          <w:sz w:val="24"/>
          <w:highlight w:val="none"/>
        </w:rPr>
        <w:t>注：以上要求的资料复印件（身份证明文件除外）均须加盖比选</w:t>
      </w:r>
      <w:r>
        <w:rPr>
          <w:rFonts w:hint="eastAsia" w:hAnsi="宋体"/>
          <w:b/>
          <w:bCs/>
          <w:sz w:val="24"/>
          <w:highlight w:val="none"/>
          <w:lang w:eastAsia="zh-CN"/>
        </w:rPr>
        <w:t>申请</w:t>
      </w:r>
      <w:r>
        <w:rPr>
          <w:rFonts w:hint="eastAsia" w:hAnsi="宋体"/>
          <w:b/>
          <w:bCs/>
          <w:sz w:val="24"/>
          <w:highlight w:val="none"/>
        </w:rPr>
        <w:t>单位的公章（鲜章）。</w:t>
      </w:r>
      <w:bookmarkStart w:id="133" w:name="_Toc217446093"/>
    </w:p>
    <w:p>
      <w:pPr>
        <w:pStyle w:val="10"/>
        <w:rPr>
          <w:rFonts w:hint="eastAsia" w:hAnsi="宋体"/>
          <w:b/>
          <w:bCs/>
          <w:sz w:val="24"/>
          <w:highlight w:val="none"/>
        </w:rPr>
      </w:pPr>
    </w:p>
    <w:p>
      <w:pPr>
        <w:rPr>
          <w:rFonts w:hint="eastAsia" w:hAnsi="宋体"/>
          <w:b/>
          <w:bCs/>
          <w:sz w:val="24"/>
          <w:highlight w:val="none"/>
        </w:rPr>
      </w:pPr>
    </w:p>
    <w:p>
      <w:pPr>
        <w:pStyle w:val="10"/>
        <w:rPr>
          <w:rFonts w:hint="eastAsia" w:hAnsi="宋体"/>
          <w:b/>
          <w:bCs/>
          <w:sz w:val="24"/>
          <w:highlight w:val="none"/>
        </w:rPr>
      </w:pPr>
    </w:p>
    <w:p>
      <w:pPr>
        <w:rPr>
          <w:rFonts w:hint="eastAsia" w:hAnsi="宋体"/>
          <w:b/>
          <w:bCs/>
          <w:sz w:val="24"/>
          <w:highlight w:val="none"/>
        </w:rPr>
      </w:pPr>
    </w:p>
    <w:p>
      <w:pPr>
        <w:pStyle w:val="10"/>
        <w:rPr>
          <w:rFonts w:hint="eastAsia" w:hAnsi="宋体"/>
          <w:b/>
          <w:bCs/>
          <w:sz w:val="24"/>
          <w:highlight w:val="none"/>
        </w:rPr>
      </w:pPr>
    </w:p>
    <w:p>
      <w:pPr>
        <w:rPr>
          <w:rFonts w:hint="eastAsia" w:hAnsi="宋体"/>
          <w:b/>
          <w:bCs/>
          <w:sz w:val="24"/>
          <w:highlight w:val="none"/>
        </w:rPr>
      </w:pPr>
    </w:p>
    <w:p>
      <w:pPr>
        <w:pStyle w:val="10"/>
        <w:rPr>
          <w:rFonts w:hint="eastAsia" w:hAnsi="宋体"/>
          <w:b/>
          <w:bCs/>
          <w:sz w:val="24"/>
          <w:highlight w:val="none"/>
        </w:rPr>
      </w:pPr>
    </w:p>
    <w:p>
      <w:pPr>
        <w:rPr>
          <w:rFonts w:hint="eastAsia" w:hAnsi="宋体"/>
          <w:b/>
          <w:bCs/>
          <w:sz w:val="24"/>
          <w:highlight w:val="none"/>
        </w:rPr>
      </w:pPr>
    </w:p>
    <w:p>
      <w:pPr>
        <w:pStyle w:val="10"/>
        <w:rPr>
          <w:rFonts w:hint="eastAsia" w:hAnsi="宋体"/>
          <w:b/>
          <w:bCs/>
          <w:sz w:val="24"/>
          <w:highlight w:val="none"/>
        </w:rPr>
      </w:pPr>
    </w:p>
    <w:p>
      <w:pPr>
        <w:rPr>
          <w:rFonts w:hint="eastAsia" w:hAnsi="宋体"/>
          <w:b/>
          <w:bCs/>
          <w:sz w:val="24"/>
          <w:highlight w:val="none"/>
        </w:rPr>
      </w:pPr>
    </w:p>
    <w:p>
      <w:pPr>
        <w:pStyle w:val="10"/>
        <w:rPr>
          <w:rFonts w:hint="eastAsia" w:hAnsi="宋体"/>
          <w:b/>
          <w:bCs/>
          <w:sz w:val="24"/>
          <w:highlight w:val="none"/>
        </w:rPr>
      </w:pPr>
    </w:p>
    <w:p>
      <w:pPr>
        <w:rPr>
          <w:rFonts w:hint="eastAsia" w:hAnsi="宋体"/>
          <w:b/>
          <w:bCs/>
          <w:sz w:val="24"/>
          <w:highlight w:val="none"/>
        </w:rPr>
      </w:pPr>
    </w:p>
    <w:p>
      <w:pPr>
        <w:pStyle w:val="10"/>
        <w:rPr>
          <w:rFonts w:hint="eastAsia" w:hAnsi="宋体"/>
          <w:b/>
          <w:bCs/>
          <w:sz w:val="24"/>
          <w:highlight w:val="none"/>
        </w:rPr>
      </w:pPr>
    </w:p>
    <w:p>
      <w:pPr>
        <w:rPr>
          <w:rFonts w:hint="eastAsia" w:hAnsi="宋体"/>
          <w:b/>
          <w:bCs/>
          <w:sz w:val="24"/>
          <w:highlight w:val="none"/>
        </w:rPr>
      </w:pPr>
    </w:p>
    <w:p>
      <w:pPr>
        <w:pStyle w:val="10"/>
        <w:rPr>
          <w:rFonts w:hint="eastAsia" w:hAnsi="宋体"/>
          <w:b/>
          <w:bCs/>
          <w:sz w:val="24"/>
          <w:highlight w:val="none"/>
        </w:rPr>
      </w:pPr>
    </w:p>
    <w:p>
      <w:pPr>
        <w:rPr>
          <w:rFonts w:hint="eastAsia" w:hAnsi="宋体"/>
          <w:b/>
          <w:bCs/>
          <w:sz w:val="24"/>
          <w:highlight w:val="none"/>
        </w:rPr>
      </w:pPr>
    </w:p>
    <w:p>
      <w:pPr>
        <w:pStyle w:val="10"/>
        <w:rPr>
          <w:rFonts w:hint="eastAsia" w:hAnsi="宋体"/>
          <w:b/>
          <w:bCs/>
          <w:sz w:val="24"/>
          <w:highlight w:val="none"/>
        </w:rPr>
      </w:pPr>
    </w:p>
    <w:p>
      <w:pPr>
        <w:rPr>
          <w:rFonts w:hint="eastAsia" w:hAnsi="宋体"/>
          <w:b/>
          <w:bCs/>
          <w:sz w:val="24"/>
          <w:highlight w:val="none"/>
        </w:rPr>
      </w:pPr>
    </w:p>
    <w:p>
      <w:pPr>
        <w:pStyle w:val="10"/>
        <w:rPr>
          <w:rFonts w:hint="eastAsia" w:hAnsi="宋体"/>
          <w:b/>
          <w:bCs/>
          <w:sz w:val="24"/>
          <w:highlight w:val="none"/>
        </w:rPr>
      </w:pPr>
    </w:p>
    <w:p>
      <w:pPr>
        <w:rPr>
          <w:rFonts w:hint="eastAsia" w:hAnsi="宋体"/>
          <w:b/>
          <w:bCs/>
          <w:sz w:val="24"/>
          <w:highlight w:val="none"/>
        </w:rPr>
      </w:pPr>
    </w:p>
    <w:p>
      <w:pPr>
        <w:pStyle w:val="10"/>
        <w:rPr>
          <w:rFonts w:hint="eastAsia" w:hAnsi="宋体"/>
          <w:b/>
          <w:bCs/>
          <w:sz w:val="24"/>
          <w:highlight w:val="none"/>
        </w:rPr>
      </w:pPr>
    </w:p>
    <w:p>
      <w:pPr>
        <w:rPr>
          <w:rFonts w:hint="eastAsia" w:hAnsi="宋体"/>
          <w:b/>
          <w:bCs/>
          <w:sz w:val="24"/>
          <w:highlight w:val="none"/>
        </w:rPr>
      </w:pPr>
    </w:p>
    <w:p>
      <w:pPr>
        <w:pStyle w:val="10"/>
        <w:rPr>
          <w:rFonts w:hint="eastAsia" w:hAnsi="宋体"/>
          <w:b/>
          <w:bCs/>
          <w:sz w:val="24"/>
          <w:highlight w:val="none"/>
        </w:rPr>
      </w:pPr>
    </w:p>
    <w:p>
      <w:pPr>
        <w:rPr>
          <w:rFonts w:hint="eastAsia" w:hAnsi="宋体"/>
          <w:b/>
          <w:bCs/>
          <w:sz w:val="24"/>
          <w:highlight w:val="none"/>
        </w:rPr>
      </w:pPr>
    </w:p>
    <w:p>
      <w:pPr>
        <w:pStyle w:val="10"/>
        <w:rPr>
          <w:rFonts w:hint="eastAsia" w:hAnsi="宋体"/>
          <w:b/>
          <w:bCs/>
          <w:sz w:val="24"/>
          <w:highlight w:val="none"/>
        </w:rPr>
      </w:pPr>
    </w:p>
    <w:p>
      <w:pPr>
        <w:rPr>
          <w:rFonts w:hint="eastAsia" w:hAnsi="宋体"/>
          <w:b/>
          <w:bCs/>
          <w:sz w:val="24"/>
          <w:highlight w:val="none"/>
        </w:rPr>
      </w:pPr>
    </w:p>
    <w:p>
      <w:pPr>
        <w:pStyle w:val="10"/>
        <w:rPr>
          <w:rFonts w:hint="eastAsia" w:hAnsi="宋体"/>
          <w:b/>
          <w:bCs/>
          <w:sz w:val="24"/>
          <w:highlight w:val="none"/>
        </w:rPr>
      </w:pPr>
    </w:p>
    <w:p>
      <w:pPr>
        <w:rPr>
          <w:rFonts w:hint="eastAsia" w:hAnsi="宋体"/>
          <w:b/>
          <w:bCs/>
          <w:sz w:val="24"/>
          <w:highlight w:val="none"/>
        </w:rPr>
      </w:pPr>
    </w:p>
    <w:p>
      <w:pPr>
        <w:pStyle w:val="10"/>
        <w:rPr>
          <w:rFonts w:hint="eastAsia" w:hAnsi="宋体"/>
          <w:b/>
          <w:bCs/>
          <w:sz w:val="24"/>
          <w:highlight w:val="none"/>
        </w:rPr>
      </w:pPr>
    </w:p>
    <w:p>
      <w:pPr>
        <w:rPr>
          <w:rFonts w:hint="eastAsia" w:hAnsi="宋体"/>
          <w:b/>
          <w:bCs/>
          <w:sz w:val="24"/>
          <w:highlight w:val="none"/>
        </w:rPr>
      </w:pPr>
    </w:p>
    <w:p>
      <w:pPr>
        <w:pStyle w:val="10"/>
        <w:rPr>
          <w:rFonts w:hint="eastAsia" w:hAnsi="宋体"/>
          <w:b/>
          <w:bCs/>
          <w:sz w:val="24"/>
          <w:highlight w:val="none"/>
        </w:rPr>
      </w:pPr>
    </w:p>
    <w:p>
      <w:pPr>
        <w:rPr>
          <w:rFonts w:hint="eastAsia"/>
          <w:highlight w:val="none"/>
        </w:rPr>
      </w:pPr>
    </w:p>
    <w:p>
      <w:pPr>
        <w:pStyle w:val="4"/>
        <w:pageBreakBefore w:val="0"/>
        <w:widowControl w:val="0"/>
        <w:kinsoku/>
        <w:wordWrap/>
        <w:overflowPunct/>
        <w:topLinePunct w:val="0"/>
        <w:autoSpaceDE/>
        <w:autoSpaceDN/>
        <w:bidi w:val="0"/>
        <w:adjustRightInd/>
        <w:snapToGrid/>
        <w:spacing w:line="400" w:lineRule="exact"/>
        <w:jc w:val="center"/>
        <w:textAlignment w:val="auto"/>
        <w:rPr>
          <w:rFonts w:hint="eastAsia"/>
          <w:sz w:val="36"/>
          <w:szCs w:val="36"/>
          <w:highlight w:val="none"/>
        </w:rPr>
      </w:pPr>
      <w:bookmarkStart w:id="134" w:name="_Toc26776"/>
      <w:r>
        <w:rPr>
          <w:rFonts w:hint="eastAsia"/>
          <w:sz w:val="36"/>
          <w:szCs w:val="36"/>
          <w:highlight w:val="none"/>
        </w:rPr>
        <w:t>第五章  比选项目</w:t>
      </w:r>
      <w:r>
        <w:rPr>
          <w:rFonts w:hint="eastAsia"/>
          <w:sz w:val="36"/>
          <w:szCs w:val="36"/>
          <w:highlight w:val="none"/>
          <w:lang w:eastAsia="zh-CN"/>
        </w:rPr>
        <w:t>商务、服务</w:t>
      </w:r>
      <w:r>
        <w:rPr>
          <w:rFonts w:hint="eastAsia"/>
          <w:sz w:val="36"/>
          <w:szCs w:val="36"/>
          <w:highlight w:val="none"/>
        </w:rPr>
        <w:t>及其他要求</w:t>
      </w:r>
      <w:bookmarkEnd w:id="134"/>
    </w:p>
    <w:bookmarkEnd w:id="133"/>
    <w:p>
      <w:pPr>
        <w:pStyle w:val="5"/>
        <w:pageBreakBefore w:val="0"/>
        <w:widowControl w:val="0"/>
        <w:kinsoku/>
        <w:wordWrap/>
        <w:overflowPunct/>
        <w:topLinePunct w:val="0"/>
        <w:autoSpaceDE/>
        <w:autoSpaceDN/>
        <w:bidi w:val="0"/>
        <w:adjustRightInd/>
        <w:snapToGrid/>
        <w:spacing w:line="400" w:lineRule="exact"/>
        <w:ind w:firstLine="236" w:firstLineChars="98"/>
        <w:textAlignment w:val="auto"/>
        <w:rPr>
          <w:rFonts w:hint="eastAsia" w:ascii="宋体" w:hAnsi="宋体"/>
          <w:sz w:val="24"/>
          <w:szCs w:val="24"/>
          <w:highlight w:val="none"/>
        </w:rPr>
      </w:pPr>
      <w:bookmarkStart w:id="135" w:name="_Toc217446095"/>
      <w:r>
        <w:rPr>
          <w:rFonts w:hint="eastAsia" w:ascii="宋体" w:hAnsi="宋体"/>
          <w:sz w:val="24"/>
          <w:szCs w:val="24"/>
          <w:highlight w:val="none"/>
        </w:rPr>
        <w:t>一、商务要求</w:t>
      </w:r>
    </w:p>
    <w:p>
      <w:pPr>
        <w:spacing w:line="440" w:lineRule="exact"/>
        <w:ind w:firstLine="481" w:firstLineChars="200"/>
        <w:rPr>
          <w:rFonts w:hint="eastAsia" w:ascii="宋体" w:hAnsi="宋体" w:eastAsia="宋体" w:cs="Times New Roman"/>
          <w:b/>
          <w:bCs w:val="0"/>
          <w:color w:val="auto"/>
          <w:sz w:val="24"/>
          <w:highlight w:val="none"/>
          <w:shd w:val="clear" w:color="auto" w:fill="auto"/>
        </w:rPr>
      </w:pPr>
      <w:r>
        <w:rPr>
          <w:rFonts w:hint="eastAsia" w:ascii="宋体" w:hAnsi="宋体" w:eastAsia="宋体" w:cs="Times New Roman"/>
          <w:b/>
          <w:bCs w:val="0"/>
          <w:color w:val="auto"/>
          <w:sz w:val="24"/>
          <w:highlight w:val="none"/>
          <w:shd w:val="clear" w:color="auto" w:fill="auto"/>
        </w:rPr>
        <w:t>（一）服务工期及地点</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bCs/>
          <w:color w:val="000000"/>
          <w:sz w:val="24"/>
          <w:highlight w:val="none"/>
          <w:lang w:val="en-US" w:eastAsia="zh-CN"/>
        </w:rPr>
      </w:pPr>
      <w:r>
        <w:rPr>
          <w:rFonts w:hint="eastAsia" w:ascii="宋体" w:hAnsi="宋体"/>
          <w:bCs/>
          <w:color w:val="000000"/>
          <w:sz w:val="24"/>
          <w:highlight w:val="none"/>
        </w:rPr>
        <w:t>1.服务工期</w:t>
      </w:r>
      <w:r>
        <w:rPr>
          <w:rFonts w:hint="eastAsia" w:ascii="宋体" w:hAnsi="宋体"/>
          <w:bCs/>
          <w:color w:val="000000"/>
          <w:sz w:val="24"/>
          <w:highlight w:val="none"/>
          <w:lang w:eastAsia="zh-CN"/>
        </w:rPr>
        <w:t>：供应商应在</w:t>
      </w:r>
      <w:r>
        <w:rPr>
          <w:rFonts w:hint="eastAsia" w:ascii="宋体" w:hAnsi="宋体"/>
          <w:bCs/>
          <w:color w:val="000000"/>
          <w:sz w:val="24"/>
          <w:highlight w:val="none"/>
          <w:lang w:val="en-US" w:eastAsia="zh-CN"/>
        </w:rPr>
        <w:t>2024</w:t>
      </w:r>
      <w:r>
        <w:rPr>
          <w:rFonts w:hint="eastAsia" w:ascii="宋体" w:hAnsi="宋体"/>
          <w:bCs/>
          <w:color w:val="000000"/>
          <w:sz w:val="24"/>
          <w:highlight w:val="none"/>
          <w:lang w:eastAsia="zh-CN"/>
        </w:rPr>
        <w:t>年</w:t>
      </w:r>
      <w:r>
        <w:rPr>
          <w:rFonts w:hint="eastAsia" w:ascii="宋体" w:hAnsi="宋体"/>
          <w:bCs/>
          <w:color w:val="000000"/>
          <w:sz w:val="24"/>
          <w:highlight w:val="none"/>
          <w:lang w:val="en-US" w:eastAsia="zh-CN"/>
        </w:rPr>
        <w:t>5</w:t>
      </w:r>
      <w:r>
        <w:rPr>
          <w:rFonts w:hint="eastAsia" w:ascii="宋体" w:hAnsi="宋体"/>
          <w:bCs/>
          <w:color w:val="000000"/>
          <w:sz w:val="24"/>
          <w:highlight w:val="none"/>
          <w:lang w:eastAsia="zh-CN"/>
        </w:rPr>
        <w:t>月</w:t>
      </w:r>
      <w:r>
        <w:rPr>
          <w:rFonts w:hint="eastAsia" w:ascii="宋体" w:hAnsi="宋体"/>
          <w:bCs/>
          <w:color w:val="000000"/>
          <w:sz w:val="24"/>
          <w:highlight w:val="none"/>
          <w:lang w:val="en-US" w:eastAsia="zh-CN"/>
        </w:rPr>
        <w:t>1</w:t>
      </w:r>
      <w:r>
        <w:rPr>
          <w:rFonts w:hint="eastAsia" w:ascii="宋体" w:hAnsi="宋体"/>
          <w:bCs/>
          <w:color w:val="000000"/>
          <w:sz w:val="24"/>
          <w:highlight w:val="none"/>
          <w:lang w:eastAsia="zh-CN"/>
        </w:rPr>
        <w:t>日前完成项目成果编制并提交至省文物局。</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color w:val="000000"/>
          <w:sz w:val="24"/>
          <w:highlight w:val="none"/>
        </w:rPr>
      </w:pPr>
      <w:r>
        <w:rPr>
          <w:rFonts w:hint="eastAsia" w:ascii="宋体" w:hAnsi="宋体"/>
          <w:bCs/>
          <w:color w:val="000000"/>
          <w:sz w:val="24"/>
          <w:highlight w:val="none"/>
        </w:rPr>
        <w:t xml:space="preserve">2.服务地点: </w:t>
      </w:r>
      <w:r>
        <w:rPr>
          <w:rFonts w:hint="eastAsia" w:ascii="宋体" w:hAnsi="宋体"/>
          <w:bCs/>
          <w:color w:val="000000"/>
          <w:sz w:val="24"/>
          <w:highlight w:val="none"/>
          <w:lang w:eastAsia="zh-CN"/>
        </w:rPr>
        <w:t>采购人指定地点</w:t>
      </w:r>
      <w:r>
        <w:rPr>
          <w:rFonts w:hint="eastAsia" w:ascii="宋体" w:hAnsi="宋体"/>
          <w:bCs/>
          <w:color w:val="000000"/>
          <w:sz w:val="24"/>
          <w:highlight w:val="none"/>
        </w:rPr>
        <w:t>。</w:t>
      </w:r>
    </w:p>
    <w:p>
      <w:pPr>
        <w:spacing w:line="440" w:lineRule="exact"/>
        <w:ind w:firstLine="481" w:firstLineChars="200"/>
        <w:rPr>
          <w:rFonts w:hint="eastAsia" w:ascii="宋体" w:hAnsi="宋体"/>
          <w:b/>
          <w:bCs w:val="0"/>
          <w:color w:val="auto"/>
          <w:sz w:val="24"/>
          <w:highlight w:val="none"/>
          <w:shd w:val="clear" w:color="auto" w:fill="auto"/>
        </w:rPr>
      </w:pPr>
      <w:r>
        <w:rPr>
          <w:rFonts w:hint="eastAsia" w:ascii="宋体" w:hAnsi="宋体"/>
          <w:b/>
          <w:bCs w:val="0"/>
          <w:color w:val="auto"/>
          <w:sz w:val="24"/>
          <w:highlight w:val="none"/>
          <w:shd w:val="clear" w:color="auto" w:fill="auto"/>
          <w:lang w:eastAsia="zh-CN"/>
        </w:rPr>
        <w:t>（二）</w:t>
      </w:r>
      <w:r>
        <w:rPr>
          <w:rFonts w:hint="eastAsia" w:ascii="宋体" w:hAnsi="宋体"/>
          <w:b/>
          <w:bCs w:val="0"/>
          <w:color w:val="auto"/>
          <w:sz w:val="24"/>
          <w:highlight w:val="none"/>
          <w:shd w:val="clear" w:color="auto" w:fill="auto"/>
        </w:rPr>
        <w:t>付款方式和条件</w:t>
      </w:r>
    </w:p>
    <w:p>
      <w:pPr>
        <w:pStyle w:val="47"/>
        <w:spacing w:line="480" w:lineRule="exact"/>
        <w:ind w:firstLine="480"/>
        <w:rPr>
          <w:rFonts w:hint="eastAsia" w:ascii="宋体" w:hAnsi="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1.采购人在本合同签订后5个工作日内、收到中选人提供的发票后，向中选人支付合同总额60%的价款；验收合格支付合同总额40%价款。</w:t>
      </w:r>
    </w:p>
    <w:p>
      <w:pPr>
        <w:pStyle w:val="47"/>
        <w:spacing w:line="480" w:lineRule="exact"/>
        <w:ind w:firstLine="48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lang w:val="en-US" w:eastAsia="zh-CN"/>
        </w:rPr>
        <w:t>2.</w:t>
      </w:r>
      <w:r>
        <w:rPr>
          <w:rFonts w:hint="eastAsia" w:ascii="宋体" w:hAnsi="宋体"/>
          <w:color w:val="auto"/>
          <w:sz w:val="24"/>
          <w:highlight w:val="none"/>
          <w:shd w:val="clear" w:color="auto" w:fill="auto"/>
        </w:rPr>
        <w:t>每次付款前，</w:t>
      </w:r>
      <w:r>
        <w:rPr>
          <w:rFonts w:hint="eastAsia" w:ascii="宋体" w:hAnsi="宋体"/>
          <w:color w:val="auto"/>
          <w:sz w:val="24"/>
          <w:highlight w:val="none"/>
          <w:shd w:val="clear" w:color="auto" w:fill="auto"/>
          <w:lang w:eastAsia="zh-CN"/>
        </w:rPr>
        <w:t>供应商</w:t>
      </w:r>
      <w:r>
        <w:rPr>
          <w:rFonts w:hint="eastAsia" w:ascii="宋体" w:hAnsi="宋体"/>
          <w:color w:val="auto"/>
          <w:sz w:val="24"/>
          <w:highlight w:val="none"/>
          <w:shd w:val="clear" w:color="auto" w:fill="auto"/>
        </w:rPr>
        <w:t>必须向</w:t>
      </w:r>
      <w:r>
        <w:rPr>
          <w:rFonts w:hint="eastAsia" w:ascii="宋体" w:hAnsi="宋体"/>
          <w:color w:val="auto"/>
          <w:sz w:val="24"/>
          <w:highlight w:val="none"/>
          <w:shd w:val="clear" w:color="auto" w:fill="auto"/>
          <w:lang w:eastAsia="zh-CN"/>
        </w:rPr>
        <w:t>采购人</w:t>
      </w:r>
      <w:r>
        <w:rPr>
          <w:rFonts w:hint="eastAsia" w:ascii="宋体" w:hAnsi="宋体"/>
          <w:color w:val="auto"/>
          <w:sz w:val="24"/>
          <w:highlight w:val="none"/>
          <w:shd w:val="clear" w:color="auto" w:fill="auto"/>
        </w:rPr>
        <w:t>出具合法有效完整的完税发票及有效凭证资料进行支付结算。</w:t>
      </w:r>
    </w:p>
    <w:p>
      <w:pPr>
        <w:pStyle w:val="5"/>
        <w:pageBreakBefore w:val="0"/>
        <w:widowControl w:val="0"/>
        <w:kinsoku/>
        <w:wordWrap/>
        <w:overflowPunct/>
        <w:topLinePunct w:val="0"/>
        <w:autoSpaceDE/>
        <w:autoSpaceDN/>
        <w:bidi w:val="0"/>
        <w:adjustRightInd/>
        <w:snapToGrid/>
        <w:spacing w:line="400" w:lineRule="exact"/>
        <w:ind w:firstLine="236" w:firstLineChars="98"/>
        <w:textAlignment w:val="auto"/>
        <w:rPr>
          <w:rFonts w:hint="eastAsia" w:ascii="宋体" w:hAnsi="宋体"/>
          <w:color w:val="000000"/>
          <w:sz w:val="24"/>
          <w:szCs w:val="24"/>
          <w:highlight w:val="none"/>
        </w:rPr>
      </w:pPr>
      <w:r>
        <w:rPr>
          <w:rFonts w:hint="eastAsia" w:ascii="宋体" w:hAnsi="宋体"/>
          <w:color w:val="000000"/>
          <w:sz w:val="24"/>
          <w:szCs w:val="24"/>
          <w:highlight w:val="none"/>
        </w:rPr>
        <w:t>二、</w:t>
      </w:r>
      <w:bookmarkEnd w:id="135"/>
      <w:r>
        <w:rPr>
          <w:rFonts w:hint="eastAsia" w:ascii="宋体" w:hAnsi="宋体"/>
          <w:color w:val="000000"/>
          <w:sz w:val="24"/>
          <w:szCs w:val="24"/>
          <w:highlight w:val="none"/>
          <w:lang w:eastAsia="zh-CN"/>
        </w:rPr>
        <w:t>服务</w:t>
      </w:r>
      <w:r>
        <w:rPr>
          <w:rFonts w:hint="eastAsia" w:ascii="宋体" w:hAnsi="宋体"/>
          <w:color w:val="000000"/>
          <w:sz w:val="24"/>
          <w:szCs w:val="24"/>
          <w:highlight w:val="none"/>
        </w:rPr>
        <w:t>内容</w:t>
      </w:r>
      <w:bookmarkStart w:id="136" w:name="_Toc518981114"/>
      <w:bookmarkStart w:id="137" w:name="_Toc450318109"/>
      <w:bookmarkStart w:id="138" w:name="_Toc401937331"/>
    </w:p>
    <w:bookmarkEnd w:id="136"/>
    <w:bookmarkEnd w:id="137"/>
    <w:bookmarkEnd w:id="138"/>
    <w:p>
      <w:pPr>
        <w:pStyle w:val="47"/>
        <w:spacing w:line="480" w:lineRule="exact"/>
        <w:ind w:firstLine="480"/>
        <w:rPr>
          <w:rFonts w:hint="eastAsia" w:ascii="宋体" w:hAnsi="宋体" w:eastAsia="宋体"/>
          <w:color w:val="auto"/>
          <w:sz w:val="24"/>
          <w:highlight w:val="none"/>
          <w:shd w:val="clear" w:color="auto" w:fill="auto"/>
        </w:rPr>
      </w:pPr>
      <w:bookmarkStart w:id="139" w:name="_Toc24786"/>
      <w:r>
        <w:rPr>
          <w:rFonts w:hint="eastAsia" w:ascii="宋体" w:hAnsi="宋体" w:eastAsia="宋体"/>
          <w:color w:val="auto"/>
          <w:sz w:val="24"/>
          <w:highlight w:val="none"/>
          <w:shd w:val="clear" w:color="auto" w:fill="auto"/>
        </w:rPr>
        <w:t>按照《中华人民共和国标准化法》《四川省专业标准化技术委员会管理办法》等有关要求，为按时高质完成“四川省文物保护标准化技术委员会”</w:t>
      </w:r>
      <w:r>
        <w:rPr>
          <w:rFonts w:hint="eastAsia" w:ascii="宋体" w:hAnsi="宋体"/>
          <w:color w:val="auto"/>
          <w:sz w:val="24"/>
          <w:highlight w:val="none"/>
          <w:shd w:val="clear" w:color="auto" w:fill="auto"/>
          <w:lang w:eastAsia="zh-CN"/>
        </w:rPr>
        <w:t>筹建</w:t>
      </w:r>
      <w:r>
        <w:rPr>
          <w:rFonts w:hint="eastAsia" w:ascii="宋体" w:hAnsi="宋体" w:eastAsia="宋体"/>
          <w:color w:val="auto"/>
          <w:sz w:val="24"/>
          <w:highlight w:val="none"/>
          <w:shd w:val="clear" w:color="auto" w:fill="auto"/>
        </w:rPr>
        <w:t>工作，四川省文物局拟采购服务研究设立四川省文物保护标准化技术委员会，研究内容包括：</w:t>
      </w:r>
    </w:p>
    <w:p>
      <w:pPr>
        <w:pStyle w:val="47"/>
        <w:spacing w:line="480" w:lineRule="exact"/>
        <w:ind w:firstLine="480"/>
        <w:rPr>
          <w:rFonts w:hint="eastAsia" w:ascii="宋体" w:hAnsi="宋体" w:eastAsia="宋体"/>
          <w:color w:val="auto"/>
          <w:sz w:val="24"/>
          <w:highlight w:val="none"/>
          <w:shd w:val="clear" w:color="auto" w:fill="auto"/>
        </w:rPr>
      </w:pPr>
      <w:r>
        <w:rPr>
          <w:rFonts w:hint="eastAsia" w:ascii="宋体" w:hAnsi="宋体" w:eastAsia="宋体"/>
          <w:color w:val="auto"/>
          <w:sz w:val="24"/>
          <w:highlight w:val="none"/>
          <w:shd w:val="clear" w:color="auto" w:fill="auto"/>
        </w:rPr>
        <w:t>1.四川省文物保护标准化技术委员会设立必要性研究。</w:t>
      </w:r>
    </w:p>
    <w:p>
      <w:pPr>
        <w:pStyle w:val="47"/>
        <w:spacing w:line="480" w:lineRule="exact"/>
        <w:ind w:firstLine="480"/>
        <w:rPr>
          <w:rFonts w:hint="eastAsia" w:ascii="宋体" w:hAnsi="宋体" w:eastAsia="宋体"/>
          <w:color w:val="auto"/>
          <w:sz w:val="24"/>
          <w:highlight w:val="none"/>
          <w:shd w:val="clear" w:color="auto" w:fill="auto"/>
        </w:rPr>
      </w:pPr>
      <w:r>
        <w:rPr>
          <w:rFonts w:hint="eastAsia" w:ascii="宋体" w:hAnsi="宋体" w:eastAsia="宋体"/>
          <w:color w:val="auto"/>
          <w:sz w:val="24"/>
          <w:highlight w:val="none"/>
          <w:shd w:val="clear" w:color="auto" w:fill="auto"/>
        </w:rPr>
        <w:t>2.四川省文物保护标准体系研究及工作方案。</w:t>
      </w:r>
    </w:p>
    <w:p>
      <w:pPr>
        <w:pStyle w:val="47"/>
        <w:spacing w:line="480" w:lineRule="exact"/>
        <w:ind w:firstLine="480"/>
        <w:rPr>
          <w:rFonts w:hint="eastAsia" w:ascii="宋体" w:hAnsi="宋体" w:eastAsia="宋体"/>
          <w:color w:val="auto"/>
          <w:sz w:val="24"/>
          <w:highlight w:val="none"/>
          <w:shd w:val="clear" w:color="auto" w:fill="auto"/>
        </w:rPr>
      </w:pPr>
      <w:r>
        <w:rPr>
          <w:rFonts w:hint="eastAsia" w:ascii="宋体" w:hAnsi="宋体" w:eastAsia="宋体"/>
          <w:color w:val="auto"/>
          <w:sz w:val="24"/>
          <w:highlight w:val="none"/>
          <w:shd w:val="clear" w:color="auto" w:fill="auto"/>
        </w:rPr>
        <w:t>3.四川省文物保护标准化技术委员会初步组成方案研究。</w:t>
      </w:r>
    </w:p>
    <w:p>
      <w:pPr>
        <w:pStyle w:val="47"/>
        <w:spacing w:line="480" w:lineRule="exact"/>
        <w:ind w:firstLine="480"/>
        <w:rPr>
          <w:rFonts w:hint="eastAsia" w:ascii="宋体" w:hAnsi="宋体" w:eastAsia="宋体"/>
          <w:color w:val="auto"/>
          <w:sz w:val="24"/>
          <w:highlight w:val="none"/>
          <w:shd w:val="clear" w:color="auto" w:fill="auto"/>
        </w:rPr>
      </w:pPr>
      <w:r>
        <w:rPr>
          <w:rFonts w:hint="eastAsia" w:ascii="宋体" w:hAnsi="宋体" w:eastAsia="宋体"/>
          <w:color w:val="auto"/>
          <w:sz w:val="24"/>
          <w:highlight w:val="none"/>
          <w:shd w:val="clear" w:color="auto" w:fill="auto"/>
        </w:rPr>
        <w:t>4.四川省文物保护标准化技术委员会章程草案、秘书处工作细则草案研究。</w:t>
      </w:r>
    </w:p>
    <w:p>
      <w:pPr>
        <w:pStyle w:val="47"/>
        <w:spacing w:line="480" w:lineRule="exact"/>
        <w:ind w:firstLine="480"/>
        <w:rPr>
          <w:rFonts w:hint="eastAsia" w:ascii="宋体" w:hAnsi="宋体" w:eastAsia="宋体"/>
          <w:color w:val="auto"/>
          <w:sz w:val="24"/>
          <w:highlight w:val="none"/>
          <w:shd w:val="clear" w:color="auto" w:fill="auto"/>
        </w:rPr>
      </w:pPr>
      <w:r>
        <w:rPr>
          <w:rFonts w:hint="eastAsia" w:ascii="宋体" w:hAnsi="宋体" w:eastAsia="宋体"/>
          <w:color w:val="auto"/>
          <w:sz w:val="24"/>
          <w:highlight w:val="none"/>
          <w:shd w:val="clear" w:color="auto" w:fill="auto"/>
        </w:rPr>
        <w:t>5.四川省文物保护标准化技术委员会工作开展计划研究。</w:t>
      </w:r>
    </w:p>
    <w:p>
      <w:pPr>
        <w:pStyle w:val="5"/>
        <w:pageBreakBefore w:val="0"/>
        <w:widowControl w:val="0"/>
        <w:kinsoku/>
        <w:wordWrap/>
        <w:overflowPunct/>
        <w:topLinePunct w:val="0"/>
        <w:autoSpaceDE/>
        <w:autoSpaceDN/>
        <w:bidi w:val="0"/>
        <w:adjustRightInd/>
        <w:snapToGrid/>
        <w:spacing w:line="400" w:lineRule="exact"/>
        <w:ind w:firstLine="236" w:firstLineChars="98"/>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★三、服务</w:t>
      </w:r>
      <w:r>
        <w:rPr>
          <w:rFonts w:hint="eastAsia" w:ascii="宋体" w:hAnsi="宋体"/>
          <w:color w:val="000000"/>
          <w:sz w:val="24"/>
          <w:szCs w:val="24"/>
          <w:highlight w:val="none"/>
        </w:rPr>
        <w:t>要求</w:t>
      </w:r>
    </w:p>
    <w:bookmarkEnd w:id="139"/>
    <w:p>
      <w:pPr>
        <w:pStyle w:val="47"/>
        <w:spacing w:line="480" w:lineRule="exact"/>
        <w:ind w:firstLine="480"/>
        <w:rPr>
          <w:rFonts w:hint="eastAsia" w:ascii="宋体" w:hAnsi="宋体"/>
          <w:color w:val="auto"/>
          <w:sz w:val="24"/>
          <w:highlight w:val="none"/>
          <w:shd w:val="clear" w:color="auto" w:fill="auto"/>
          <w:lang w:eastAsia="zh-CN"/>
        </w:rPr>
      </w:pPr>
      <w:bookmarkStart w:id="140" w:name="_Toc208849007"/>
      <w:bookmarkStart w:id="141" w:name="_Toc183582280"/>
      <w:bookmarkStart w:id="142" w:name="_Toc217446097"/>
      <w:bookmarkStart w:id="143" w:name="_Toc183682415"/>
      <w:r>
        <w:rPr>
          <w:rFonts w:hint="eastAsia" w:ascii="宋体" w:hAnsi="宋体" w:eastAsia="宋体"/>
          <w:color w:val="auto"/>
          <w:sz w:val="24"/>
          <w:highlight w:val="none"/>
          <w:shd w:val="clear" w:color="auto" w:fill="auto"/>
        </w:rPr>
        <w:t>1.供应商需根据采购方需求</w:t>
      </w:r>
      <w:r>
        <w:rPr>
          <w:rFonts w:hint="eastAsia" w:ascii="宋体" w:hAnsi="宋体"/>
          <w:color w:val="auto"/>
          <w:sz w:val="24"/>
          <w:highlight w:val="none"/>
          <w:shd w:val="clear" w:color="auto" w:fill="auto"/>
          <w:lang w:eastAsia="zh-CN"/>
        </w:rPr>
        <w:t>按时完成研究成果的编制，并根据采购方需求进行后续的修改完善。供应商需在</w:t>
      </w:r>
      <w:r>
        <w:rPr>
          <w:rFonts w:hint="eastAsia" w:ascii="宋体" w:hAnsi="宋体" w:eastAsia="宋体"/>
          <w:color w:val="auto"/>
          <w:sz w:val="24"/>
          <w:highlight w:val="none"/>
          <w:shd w:val="clear" w:color="auto" w:fill="auto"/>
        </w:rPr>
        <w:t>四川省文物保护标准化技术委员会</w:t>
      </w:r>
      <w:r>
        <w:rPr>
          <w:rFonts w:hint="eastAsia" w:ascii="宋体" w:hAnsi="宋体"/>
          <w:color w:val="auto"/>
          <w:sz w:val="24"/>
          <w:highlight w:val="none"/>
          <w:shd w:val="clear" w:color="auto" w:fill="auto"/>
          <w:lang w:eastAsia="zh-CN"/>
        </w:rPr>
        <w:t>成立前提供本项目相关的技术支持及咨询服务。</w:t>
      </w:r>
    </w:p>
    <w:p>
      <w:pPr>
        <w:pStyle w:val="47"/>
        <w:spacing w:line="480" w:lineRule="exact"/>
        <w:ind w:firstLine="480"/>
        <w:rPr>
          <w:rFonts w:hint="eastAsia" w:ascii="宋体" w:hAnsi="宋体" w:eastAsia="宋体"/>
          <w:color w:val="auto"/>
          <w:sz w:val="24"/>
          <w:highlight w:val="none"/>
          <w:shd w:val="clear" w:color="auto" w:fill="auto"/>
        </w:rPr>
      </w:pPr>
      <w:r>
        <w:rPr>
          <w:rFonts w:hint="eastAsia" w:ascii="宋体" w:hAnsi="宋体" w:eastAsia="宋体"/>
          <w:color w:val="auto"/>
          <w:sz w:val="24"/>
          <w:highlight w:val="none"/>
          <w:shd w:val="clear" w:color="auto" w:fill="auto"/>
        </w:rPr>
        <w:t>2.本次遴选所有文件资料及有关事宜，供应商未经遴选人书面允许不得以任何原因、任何方式向第三方透露。否则，遴选人将追究有关的法律责任。</w:t>
      </w:r>
    </w:p>
    <w:p>
      <w:pPr>
        <w:pStyle w:val="5"/>
        <w:pageBreakBefore w:val="0"/>
        <w:widowControl w:val="0"/>
        <w:kinsoku/>
        <w:wordWrap/>
        <w:overflowPunct/>
        <w:topLinePunct w:val="0"/>
        <w:autoSpaceDE/>
        <w:autoSpaceDN/>
        <w:bidi w:val="0"/>
        <w:adjustRightInd/>
        <w:snapToGrid/>
        <w:spacing w:line="400" w:lineRule="exact"/>
        <w:ind w:firstLine="236" w:firstLineChars="98"/>
        <w:textAlignment w:val="auto"/>
        <w:rPr>
          <w:rFonts w:hint="eastAsia" w:ascii="宋体" w:hAnsi="宋体"/>
          <w:color w:val="000000"/>
          <w:sz w:val="24"/>
          <w:szCs w:val="24"/>
          <w:highlight w:val="none"/>
          <w:lang w:eastAsia="zh-CN"/>
        </w:rPr>
      </w:pPr>
      <w:r>
        <w:rPr>
          <w:rFonts w:hint="eastAsia" w:ascii="宋体" w:hAnsi="宋体"/>
          <w:color w:val="000000"/>
          <w:sz w:val="24"/>
          <w:szCs w:val="24"/>
          <w:highlight w:val="none"/>
          <w:lang w:eastAsia="zh-CN"/>
        </w:rPr>
        <w:t>★四、项目成果要求</w:t>
      </w:r>
    </w:p>
    <w:p>
      <w:pPr>
        <w:pStyle w:val="1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sz w:val="24"/>
          <w:highlight w:val="none"/>
          <w:shd w:val="clear" w:color="auto" w:fill="auto"/>
        </w:rPr>
      </w:pPr>
      <w:r>
        <w:rPr>
          <w:rFonts w:hint="eastAsia" w:ascii="宋体" w:hAnsi="宋体" w:eastAsia="宋体"/>
          <w:color w:val="auto"/>
          <w:sz w:val="24"/>
          <w:highlight w:val="none"/>
          <w:shd w:val="clear" w:color="auto" w:fill="auto"/>
        </w:rPr>
        <w:t>1.完成四川省文物保护标准体系建设研究报告。</w:t>
      </w:r>
    </w:p>
    <w:p>
      <w:pPr>
        <w:pStyle w:val="1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sz w:val="24"/>
          <w:highlight w:val="none"/>
          <w:shd w:val="clear" w:color="auto" w:fill="auto"/>
          <w:lang w:val="en-US" w:eastAsia="zh-CN"/>
        </w:rPr>
      </w:pPr>
      <w:r>
        <w:rPr>
          <w:rFonts w:hint="eastAsia" w:ascii="宋体" w:hAnsi="宋体" w:eastAsia="宋体"/>
          <w:color w:val="auto"/>
          <w:sz w:val="24"/>
          <w:highlight w:val="none"/>
          <w:shd w:val="clear" w:color="auto" w:fill="auto"/>
        </w:rPr>
        <w:t>2.完成四川省文物保护标准化技术委员会必要性可行性研究报告</w:t>
      </w:r>
      <w:r>
        <w:rPr>
          <w:rFonts w:hint="eastAsia" w:ascii="宋体" w:hAnsi="宋体" w:eastAsia="宋体"/>
          <w:color w:val="auto"/>
          <w:sz w:val="24"/>
          <w:highlight w:val="none"/>
          <w:shd w:val="clear" w:color="auto" w:fill="auto"/>
          <w:lang w:eastAsia="zh-CN"/>
        </w:rPr>
        <w:t>。</w:t>
      </w:r>
    </w:p>
    <w:p>
      <w:pPr>
        <w:pStyle w:val="1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sz w:val="24"/>
          <w:highlight w:val="none"/>
          <w:shd w:val="clear" w:color="auto" w:fill="auto"/>
          <w:lang w:eastAsia="zh-CN"/>
        </w:rPr>
      </w:pPr>
      <w:r>
        <w:rPr>
          <w:rFonts w:hint="eastAsia" w:ascii="宋体" w:hAnsi="宋体" w:eastAsia="宋体"/>
          <w:color w:val="auto"/>
          <w:sz w:val="24"/>
          <w:highlight w:val="none"/>
          <w:shd w:val="clear" w:color="auto" w:fill="auto"/>
          <w:lang w:val="en-US"/>
        </w:rPr>
        <w:t>3.</w:t>
      </w:r>
      <w:r>
        <w:rPr>
          <w:rFonts w:hint="eastAsia" w:ascii="宋体" w:hAnsi="宋体" w:eastAsia="宋体"/>
          <w:color w:val="auto"/>
          <w:sz w:val="24"/>
          <w:highlight w:val="none"/>
          <w:shd w:val="clear" w:color="auto" w:fill="auto"/>
        </w:rPr>
        <w:t>四川省文物保护标准化技术委员会组成方案</w:t>
      </w:r>
      <w:r>
        <w:rPr>
          <w:rFonts w:hint="eastAsia" w:ascii="宋体" w:hAnsi="宋体" w:eastAsia="宋体"/>
          <w:color w:val="auto"/>
          <w:sz w:val="24"/>
          <w:highlight w:val="none"/>
          <w:shd w:val="clear" w:color="auto" w:fill="auto"/>
          <w:lang w:eastAsia="zh-CN"/>
        </w:rPr>
        <w:t>。</w:t>
      </w:r>
    </w:p>
    <w:p>
      <w:pPr>
        <w:pStyle w:val="1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sz w:val="24"/>
          <w:highlight w:val="none"/>
          <w:shd w:val="clear" w:color="auto" w:fill="auto"/>
          <w:lang w:eastAsia="zh-CN"/>
        </w:rPr>
      </w:pPr>
      <w:r>
        <w:rPr>
          <w:rFonts w:hint="eastAsia" w:ascii="宋体" w:hAnsi="宋体" w:eastAsia="宋体"/>
          <w:color w:val="auto"/>
          <w:sz w:val="24"/>
          <w:highlight w:val="none"/>
          <w:shd w:val="clear" w:color="auto" w:fill="auto"/>
          <w:lang w:val="en-US" w:eastAsia="zh-CN"/>
        </w:rPr>
        <w:t>4.</w:t>
      </w:r>
      <w:r>
        <w:rPr>
          <w:rFonts w:hint="eastAsia" w:ascii="宋体" w:hAnsi="宋体" w:eastAsia="宋体"/>
          <w:color w:val="auto"/>
          <w:sz w:val="24"/>
          <w:highlight w:val="none"/>
          <w:shd w:val="clear" w:color="auto" w:fill="auto"/>
        </w:rPr>
        <w:t>四川省文物保护标准化技术委员章程、秘书处工作细则</w:t>
      </w:r>
      <w:r>
        <w:rPr>
          <w:rFonts w:hint="eastAsia" w:ascii="宋体" w:hAnsi="宋体" w:eastAsia="宋体"/>
          <w:color w:val="auto"/>
          <w:sz w:val="24"/>
          <w:highlight w:val="none"/>
          <w:shd w:val="clear" w:color="auto" w:fill="auto"/>
          <w:lang w:eastAsia="zh-CN"/>
        </w:rPr>
        <w:t>。</w:t>
      </w:r>
    </w:p>
    <w:p>
      <w:pPr>
        <w:pStyle w:val="10"/>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ascii="宋体" w:hAnsi="宋体" w:eastAsia="宋体"/>
          <w:color w:val="auto"/>
          <w:sz w:val="24"/>
          <w:highlight w:val="none"/>
          <w:shd w:val="clear" w:color="auto" w:fill="auto"/>
          <w:lang w:val="en-US" w:eastAsia="zh-CN"/>
        </w:rPr>
        <w:t>5.</w:t>
      </w:r>
      <w:r>
        <w:rPr>
          <w:rFonts w:hint="eastAsia" w:ascii="宋体" w:hAnsi="宋体" w:eastAsia="宋体"/>
          <w:color w:val="auto"/>
          <w:sz w:val="24"/>
          <w:highlight w:val="none"/>
          <w:shd w:val="clear" w:color="auto" w:fill="auto"/>
        </w:rPr>
        <w:t>四川省文物保护标准化技术委员工作计划。</w:t>
      </w:r>
    </w:p>
    <w:p>
      <w:pPr>
        <w:rPr>
          <w:rFonts w:hint="eastAsia"/>
          <w:highlight w:val="none"/>
        </w:rPr>
      </w:pPr>
    </w:p>
    <w:p>
      <w:pPr>
        <w:pStyle w:val="10"/>
        <w:pageBreakBefore w:val="0"/>
        <w:widowControl w:val="0"/>
        <w:kinsoku/>
        <w:wordWrap/>
        <w:overflowPunct/>
        <w:topLinePunct w:val="0"/>
        <w:autoSpaceDE/>
        <w:autoSpaceDN/>
        <w:bidi w:val="0"/>
        <w:adjustRightInd/>
        <w:snapToGrid/>
        <w:spacing w:line="560" w:lineRule="exact"/>
        <w:jc w:val="center"/>
        <w:textAlignment w:val="auto"/>
        <w:rPr>
          <w:rFonts w:hint="eastAsia"/>
          <w:b/>
          <w:bCs/>
          <w:kern w:val="44"/>
          <w:sz w:val="36"/>
          <w:szCs w:val="36"/>
          <w:highlight w:val="none"/>
        </w:rPr>
      </w:pPr>
      <w:r>
        <w:rPr>
          <w:rFonts w:hint="eastAsia"/>
          <w:b/>
          <w:bCs/>
          <w:kern w:val="44"/>
          <w:sz w:val="36"/>
          <w:szCs w:val="36"/>
          <w:highlight w:val="none"/>
        </w:rPr>
        <w:t>第六章  评标办法</w:t>
      </w:r>
    </w:p>
    <w:p>
      <w:pPr>
        <w:pStyle w:val="5"/>
        <w:pageBreakBefore w:val="0"/>
        <w:widowControl w:val="0"/>
        <w:kinsoku/>
        <w:wordWrap/>
        <w:overflowPunct/>
        <w:topLinePunct w:val="0"/>
        <w:autoSpaceDE/>
        <w:autoSpaceDN/>
        <w:bidi w:val="0"/>
        <w:adjustRightInd/>
        <w:snapToGrid/>
        <w:spacing w:line="560" w:lineRule="exact"/>
        <w:textAlignment w:val="auto"/>
        <w:rPr>
          <w:rFonts w:hint="eastAsia"/>
          <w:sz w:val="24"/>
          <w:szCs w:val="24"/>
          <w:highlight w:val="none"/>
        </w:rPr>
      </w:pPr>
      <w:r>
        <w:rPr>
          <w:rFonts w:hint="eastAsia"/>
          <w:sz w:val="24"/>
          <w:szCs w:val="24"/>
          <w:highlight w:val="none"/>
        </w:rPr>
        <w:t>1. 总则</w:t>
      </w:r>
      <w:bookmarkEnd w:id="140"/>
      <w:bookmarkEnd w:id="141"/>
      <w:bookmarkEnd w:id="142"/>
      <w:bookmarkEnd w:id="143"/>
    </w:p>
    <w:p>
      <w:pPr>
        <w:spacing w:line="400" w:lineRule="exact"/>
        <w:ind w:firstLine="480" w:firstLineChars="200"/>
        <w:rPr>
          <w:rFonts w:hint="eastAsia" w:ascii="宋体"/>
          <w:sz w:val="24"/>
          <w:highlight w:val="none"/>
        </w:rPr>
      </w:pPr>
      <w:r>
        <w:rPr>
          <w:rFonts w:hint="eastAsia" w:ascii="宋体"/>
          <w:sz w:val="24"/>
          <w:highlight w:val="none"/>
        </w:rPr>
        <w:t>1.1 根据《中华人民共和国政府采购法》、《中华人民共和国政府采购法实施条例》等法律制度，结合采购项目特点制定本评标办法。</w:t>
      </w:r>
    </w:p>
    <w:p>
      <w:pPr>
        <w:spacing w:line="400" w:lineRule="exact"/>
        <w:ind w:firstLine="480" w:firstLineChars="200"/>
        <w:rPr>
          <w:rFonts w:hint="eastAsia" w:ascii="宋体"/>
          <w:sz w:val="24"/>
          <w:highlight w:val="none"/>
        </w:rPr>
      </w:pPr>
      <w:r>
        <w:rPr>
          <w:rFonts w:hint="eastAsia" w:ascii="宋体"/>
          <w:sz w:val="24"/>
          <w:highlight w:val="none"/>
        </w:rPr>
        <w:t xml:space="preserve">1.2 </w:t>
      </w:r>
      <w:r>
        <w:rPr>
          <w:rFonts w:hint="eastAsia" w:ascii="宋体"/>
          <w:bCs/>
          <w:sz w:val="24"/>
          <w:highlight w:val="none"/>
        </w:rPr>
        <w:t>评标工作由采购代理机构负责组织，具体评标事务由采购代理机构依法组建的评标委员会负责。评标委员会由比选人代表和有关技术、经济、法律等方面的专家组成。</w:t>
      </w:r>
    </w:p>
    <w:p>
      <w:pPr>
        <w:spacing w:line="400" w:lineRule="exact"/>
        <w:ind w:firstLine="480" w:firstLineChars="200"/>
        <w:rPr>
          <w:rFonts w:hint="eastAsia" w:ascii="宋体"/>
          <w:sz w:val="24"/>
          <w:highlight w:val="none"/>
        </w:rPr>
      </w:pPr>
      <w:r>
        <w:rPr>
          <w:rFonts w:hint="eastAsia" w:ascii="宋体"/>
          <w:sz w:val="24"/>
          <w:highlight w:val="none"/>
        </w:rPr>
        <w:t>1.3 评标工作应遵循公平、公正、科学及择优的原则，并以相同的评标程序和标准对待所有的供应商。</w:t>
      </w:r>
    </w:p>
    <w:p>
      <w:pPr>
        <w:spacing w:line="400" w:lineRule="exact"/>
        <w:ind w:firstLine="480" w:firstLineChars="200"/>
        <w:rPr>
          <w:rFonts w:hint="eastAsia" w:ascii="宋体"/>
          <w:sz w:val="24"/>
          <w:highlight w:val="none"/>
        </w:rPr>
      </w:pPr>
      <w:r>
        <w:rPr>
          <w:rFonts w:hint="eastAsia" w:ascii="宋体"/>
          <w:sz w:val="24"/>
          <w:highlight w:val="none"/>
        </w:rPr>
        <w:t>1.4 评标委员会按照比选文件规定的评标方法和标准进行评标，并独立履行下列职责：</w:t>
      </w:r>
    </w:p>
    <w:p>
      <w:pPr>
        <w:spacing w:line="400" w:lineRule="exact"/>
        <w:ind w:firstLine="480" w:firstLineChars="200"/>
        <w:rPr>
          <w:rFonts w:hint="eastAsia" w:ascii="宋体"/>
          <w:sz w:val="24"/>
          <w:highlight w:val="none"/>
        </w:rPr>
      </w:pPr>
      <w:bookmarkStart w:id="144" w:name="_Toc217446098"/>
      <w:r>
        <w:rPr>
          <w:rFonts w:hint="eastAsia" w:ascii="宋体"/>
          <w:sz w:val="24"/>
          <w:highlight w:val="none"/>
        </w:rPr>
        <w:t>（一）熟悉和理解比选文件；</w:t>
      </w:r>
    </w:p>
    <w:p>
      <w:pPr>
        <w:spacing w:line="400" w:lineRule="exact"/>
        <w:ind w:firstLine="480" w:firstLineChars="200"/>
        <w:rPr>
          <w:rFonts w:hint="eastAsia" w:ascii="宋体"/>
          <w:sz w:val="24"/>
          <w:highlight w:val="none"/>
        </w:rPr>
      </w:pPr>
      <w:r>
        <w:rPr>
          <w:rFonts w:hint="eastAsia" w:ascii="宋体"/>
          <w:sz w:val="24"/>
          <w:highlight w:val="none"/>
        </w:rPr>
        <w:t>（二）审查供应商比选</w:t>
      </w:r>
      <w:r>
        <w:rPr>
          <w:rFonts w:hint="eastAsia" w:ascii="宋体"/>
          <w:sz w:val="24"/>
          <w:highlight w:val="none"/>
          <w:lang w:eastAsia="zh-CN"/>
        </w:rPr>
        <w:t>申请</w:t>
      </w:r>
      <w:r>
        <w:rPr>
          <w:rFonts w:hint="eastAsia" w:ascii="宋体"/>
          <w:sz w:val="24"/>
          <w:highlight w:val="none"/>
        </w:rPr>
        <w:t>文件等是否满足比选文件要求，并作出评价；</w:t>
      </w:r>
    </w:p>
    <w:p>
      <w:pPr>
        <w:spacing w:line="400" w:lineRule="exact"/>
        <w:ind w:firstLine="480" w:firstLineChars="200"/>
        <w:rPr>
          <w:rFonts w:hint="eastAsia" w:ascii="宋体"/>
          <w:sz w:val="24"/>
          <w:highlight w:val="none"/>
        </w:rPr>
      </w:pPr>
      <w:r>
        <w:rPr>
          <w:rFonts w:hint="eastAsia" w:ascii="宋体"/>
          <w:sz w:val="24"/>
          <w:highlight w:val="none"/>
        </w:rPr>
        <w:t>（三）根据需要要求比选采购单位对比选文件作出解释；根据需要要求供应商对比选</w:t>
      </w:r>
      <w:r>
        <w:rPr>
          <w:rFonts w:hint="eastAsia" w:ascii="宋体"/>
          <w:sz w:val="24"/>
          <w:highlight w:val="none"/>
          <w:lang w:eastAsia="zh-CN"/>
        </w:rPr>
        <w:t>申请</w:t>
      </w:r>
      <w:r>
        <w:rPr>
          <w:rFonts w:hint="eastAsia" w:ascii="宋体"/>
          <w:sz w:val="24"/>
          <w:highlight w:val="none"/>
        </w:rPr>
        <w:t>文件有关事项作出澄清、说明或者更正；</w:t>
      </w:r>
    </w:p>
    <w:p>
      <w:pPr>
        <w:spacing w:line="400" w:lineRule="exact"/>
        <w:ind w:firstLine="480" w:firstLineChars="200"/>
        <w:rPr>
          <w:rFonts w:hint="eastAsia" w:ascii="宋体"/>
          <w:sz w:val="24"/>
          <w:highlight w:val="none"/>
        </w:rPr>
      </w:pPr>
      <w:r>
        <w:rPr>
          <w:rFonts w:hint="eastAsia" w:ascii="宋体"/>
          <w:sz w:val="24"/>
          <w:highlight w:val="none"/>
        </w:rPr>
        <w:t>（四）推荐中标候选供应商，或者受比选人委托确定中标供应商；</w:t>
      </w:r>
    </w:p>
    <w:p>
      <w:pPr>
        <w:spacing w:line="400" w:lineRule="exact"/>
        <w:ind w:firstLine="480" w:firstLineChars="200"/>
        <w:rPr>
          <w:rFonts w:hint="eastAsia" w:ascii="宋体"/>
          <w:sz w:val="24"/>
          <w:highlight w:val="none"/>
        </w:rPr>
      </w:pPr>
      <w:r>
        <w:rPr>
          <w:rFonts w:hint="eastAsia" w:ascii="宋体"/>
          <w:sz w:val="24"/>
          <w:highlight w:val="none"/>
        </w:rPr>
        <w:t>（五）起草比选报告并进行签署；</w:t>
      </w:r>
    </w:p>
    <w:p>
      <w:pPr>
        <w:spacing w:line="400" w:lineRule="exact"/>
        <w:ind w:firstLine="480" w:firstLineChars="200"/>
        <w:rPr>
          <w:rFonts w:hint="eastAsia" w:ascii="宋体"/>
          <w:sz w:val="24"/>
          <w:highlight w:val="none"/>
        </w:rPr>
      </w:pPr>
      <w:r>
        <w:rPr>
          <w:rFonts w:hint="eastAsia" w:ascii="宋体"/>
          <w:sz w:val="24"/>
          <w:highlight w:val="none"/>
        </w:rPr>
        <w:t>（六）向比选采购单位、财政部门或者其他监督部门报告非法干预评标工作的行为；</w:t>
      </w:r>
    </w:p>
    <w:p>
      <w:pPr>
        <w:spacing w:line="400" w:lineRule="exact"/>
        <w:ind w:firstLine="480" w:firstLineChars="200"/>
        <w:rPr>
          <w:rFonts w:hint="eastAsia" w:ascii="宋体"/>
          <w:sz w:val="24"/>
          <w:highlight w:val="none"/>
        </w:rPr>
      </w:pPr>
      <w:r>
        <w:rPr>
          <w:rFonts w:hint="eastAsia" w:ascii="宋体"/>
          <w:sz w:val="24"/>
          <w:highlight w:val="none"/>
        </w:rPr>
        <w:t>（七）法律、法规和规章规定的其他职责。</w:t>
      </w:r>
    </w:p>
    <w:p>
      <w:pPr>
        <w:spacing w:line="400" w:lineRule="exact"/>
        <w:ind w:firstLine="480" w:firstLineChars="200"/>
        <w:rPr>
          <w:rFonts w:hint="eastAsia" w:ascii="宋体"/>
          <w:sz w:val="24"/>
          <w:highlight w:val="none"/>
        </w:rPr>
      </w:pPr>
      <w:r>
        <w:rPr>
          <w:rFonts w:hint="eastAsia" w:ascii="宋体"/>
          <w:sz w:val="24"/>
          <w:highlight w:val="none"/>
        </w:rPr>
        <w:t>1.5 评标过程独立、保密。供应商非法干预评标评标过程的行为将导致其比选</w:t>
      </w:r>
      <w:r>
        <w:rPr>
          <w:rFonts w:hint="eastAsia" w:ascii="宋体"/>
          <w:sz w:val="24"/>
          <w:highlight w:val="none"/>
          <w:lang w:eastAsia="zh-CN"/>
        </w:rPr>
        <w:t>申请</w:t>
      </w:r>
      <w:r>
        <w:rPr>
          <w:rFonts w:hint="eastAsia" w:ascii="宋体"/>
          <w:sz w:val="24"/>
          <w:highlight w:val="none"/>
        </w:rPr>
        <w:t>文件作为无效处理。</w:t>
      </w:r>
    </w:p>
    <w:p>
      <w:pPr>
        <w:spacing w:line="400" w:lineRule="exact"/>
        <w:ind w:firstLine="480" w:firstLineChars="200"/>
        <w:rPr>
          <w:rFonts w:hint="eastAsia" w:ascii="宋体"/>
          <w:sz w:val="24"/>
          <w:highlight w:val="none"/>
        </w:rPr>
      </w:pPr>
      <w:r>
        <w:rPr>
          <w:rFonts w:hint="eastAsia" w:ascii="宋体"/>
          <w:sz w:val="24"/>
          <w:highlight w:val="none"/>
        </w:rPr>
        <w:t>1.6评标委员会评价比选</w:t>
      </w:r>
      <w:r>
        <w:rPr>
          <w:rFonts w:hint="eastAsia" w:ascii="宋体"/>
          <w:sz w:val="24"/>
          <w:highlight w:val="none"/>
          <w:lang w:eastAsia="zh-CN"/>
        </w:rPr>
        <w:t>申请</w:t>
      </w:r>
      <w:r>
        <w:rPr>
          <w:rFonts w:hint="eastAsia" w:ascii="宋体"/>
          <w:sz w:val="24"/>
          <w:highlight w:val="none"/>
        </w:rPr>
        <w:t>文件的响应性，对于供应商而言，除评标委员会要求其澄清、说明或者更正而提供的资料外，仅依据比选</w:t>
      </w:r>
      <w:r>
        <w:rPr>
          <w:rFonts w:hint="eastAsia" w:ascii="宋体"/>
          <w:sz w:val="24"/>
          <w:highlight w:val="none"/>
          <w:lang w:eastAsia="zh-CN"/>
        </w:rPr>
        <w:t>申请</w:t>
      </w:r>
      <w:r>
        <w:rPr>
          <w:rFonts w:hint="eastAsia" w:ascii="宋体"/>
          <w:sz w:val="24"/>
          <w:highlight w:val="none"/>
        </w:rPr>
        <w:t>文件本身的内容，不寻求其他外部证据。</w:t>
      </w:r>
    </w:p>
    <w:p>
      <w:pPr>
        <w:pStyle w:val="10"/>
        <w:rPr>
          <w:rFonts w:hint="eastAsia"/>
          <w:highlight w:val="none"/>
        </w:rPr>
      </w:pPr>
    </w:p>
    <w:p>
      <w:pPr>
        <w:spacing w:line="400" w:lineRule="exact"/>
        <w:ind w:firstLine="480" w:firstLineChars="200"/>
        <w:rPr>
          <w:rFonts w:hint="eastAsia" w:ascii="宋体"/>
          <w:sz w:val="24"/>
          <w:highlight w:val="none"/>
        </w:rPr>
      </w:pPr>
    </w:p>
    <w:p>
      <w:pPr>
        <w:spacing w:line="400" w:lineRule="exact"/>
        <w:ind w:firstLine="481" w:firstLineChars="200"/>
        <w:rPr>
          <w:rFonts w:hint="eastAsia" w:ascii="黑体" w:eastAsia="黑体"/>
          <w:b/>
          <w:sz w:val="24"/>
          <w:highlight w:val="none"/>
        </w:rPr>
      </w:pPr>
      <w:r>
        <w:rPr>
          <w:rFonts w:hint="eastAsia" w:ascii="黑体" w:eastAsia="黑体"/>
          <w:b/>
          <w:sz w:val="24"/>
          <w:highlight w:val="none"/>
        </w:rPr>
        <w:t>2、评标方法</w:t>
      </w:r>
    </w:p>
    <w:p>
      <w:pPr>
        <w:spacing w:line="400" w:lineRule="exact"/>
        <w:ind w:firstLine="480" w:firstLineChars="200"/>
        <w:rPr>
          <w:rFonts w:hint="eastAsia" w:ascii="黑体" w:eastAsia="黑体"/>
          <w:sz w:val="24"/>
          <w:highlight w:val="none"/>
        </w:rPr>
      </w:pPr>
    </w:p>
    <w:p>
      <w:pPr>
        <w:spacing w:line="400" w:lineRule="exact"/>
        <w:ind w:firstLine="480" w:firstLineChars="200"/>
        <w:rPr>
          <w:rFonts w:hint="eastAsia"/>
          <w:sz w:val="24"/>
          <w:highlight w:val="none"/>
        </w:rPr>
      </w:pPr>
      <w:r>
        <w:rPr>
          <w:rFonts w:hint="eastAsia"/>
          <w:sz w:val="24"/>
          <w:highlight w:val="none"/>
        </w:rPr>
        <w:t>本项目评标方法为：</w:t>
      </w:r>
      <w:r>
        <w:rPr>
          <w:rFonts w:hint="eastAsia"/>
          <w:b/>
          <w:bCs/>
          <w:sz w:val="24"/>
          <w:highlight w:val="none"/>
        </w:rPr>
        <w:t>综合评分法</w:t>
      </w:r>
      <w:r>
        <w:rPr>
          <w:rFonts w:hint="eastAsia"/>
          <w:sz w:val="24"/>
          <w:highlight w:val="none"/>
        </w:rPr>
        <w:t>。</w:t>
      </w:r>
    </w:p>
    <w:p>
      <w:pPr>
        <w:spacing w:line="400" w:lineRule="exact"/>
        <w:ind w:firstLine="480" w:firstLineChars="200"/>
        <w:rPr>
          <w:rFonts w:hint="eastAsia" w:ascii="黑体" w:eastAsia="黑体"/>
          <w:sz w:val="24"/>
          <w:highlight w:val="none"/>
        </w:rPr>
      </w:pPr>
    </w:p>
    <w:p>
      <w:pPr>
        <w:spacing w:line="400" w:lineRule="exact"/>
        <w:ind w:firstLine="481" w:firstLineChars="200"/>
        <w:rPr>
          <w:rFonts w:hint="eastAsia" w:ascii="黑体" w:eastAsia="黑体"/>
          <w:b/>
          <w:sz w:val="24"/>
          <w:highlight w:val="none"/>
        </w:rPr>
      </w:pPr>
      <w:r>
        <w:rPr>
          <w:rFonts w:hint="eastAsia" w:ascii="黑体" w:eastAsia="黑体"/>
          <w:b/>
          <w:sz w:val="24"/>
          <w:highlight w:val="none"/>
        </w:rPr>
        <w:t>3、 评标程序</w:t>
      </w:r>
      <w:bookmarkEnd w:id="144"/>
    </w:p>
    <w:p>
      <w:pPr>
        <w:spacing w:line="400" w:lineRule="exact"/>
        <w:ind w:firstLine="481" w:firstLineChars="200"/>
        <w:rPr>
          <w:rFonts w:hint="eastAsia" w:ascii="黑体" w:eastAsia="黑体"/>
          <w:b/>
          <w:sz w:val="24"/>
          <w:highlight w:val="none"/>
        </w:rPr>
      </w:pPr>
    </w:p>
    <w:p>
      <w:pPr>
        <w:spacing w:line="400" w:lineRule="exact"/>
        <w:ind w:firstLine="480" w:firstLineChars="200"/>
        <w:rPr>
          <w:rFonts w:hint="eastAsia" w:ascii="宋体"/>
          <w:sz w:val="24"/>
          <w:highlight w:val="none"/>
        </w:rPr>
      </w:pPr>
      <w:bookmarkStart w:id="145" w:name="_Toc217446103"/>
      <w:bookmarkStart w:id="146" w:name="_Toc217446099"/>
      <w:r>
        <w:rPr>
          <w:rFonts w:hint="eastAsia" w:ascii="宋体"/>
          <w:sz w:val="24"/>
          <w:highlight w:val="none"/>
        </w:rPr>
        <w:t>3.1熟悉和理解比选文件和停止评标。</w:t>
      </w:r>
    </w:p>
    <w:p>
      <w:pPr>
        <w:spacing w:line="400" w:lineRule="exact"/>
        <w:ind w:firstLine="480" w:firstLineChars="200"/>
        <w:rPr>
          <w:rFonts w:hint="eastAsia" w:ascii="宋体"/>
          <w:sz w:val="24"/>
          <w:highlight w:val="none"/>
        </w:rPr>
      </w:pPr>
      <w:r>
        <w:rPr>
          <w:rFonts w:hint="eastAsia" w:ascii="宋体"/>
          <w:sz w:val="24"/>
          <w:highlight w:val="none"/>
        </w:rPr>
        <w:t>3.1.1评标委员会正式评标前，应当对比选文件进行熟悉和理解，内容主要包括比选文件中供应商资格条件要求、采购项目技术、服务和商务要求、评标方法和标准以及可能涉及签订政府采购合同的内容等。</w:t>
      </w:r>
    </w:p>
    <w:p>
      <w:pPr>
        <w:spacing w:line="400" w:lineRule="exact"/>
        <w:ind w:firstLine="480" w:firstLineChars="200"/>
        <w:rPr>
          <w:rFonts w:hint="eastAsia" w:ascii="宋体"/>
          <w:sz w:val="24"/>
          <w:highlight w:val="none"/>
        </w:rPr>
      </w:pPr>
      <w:r>
        <w:rPr>
          <w:rFonts w:hint="eastAsia" w:ascii="宋体"/>
          <w:sz w:val="24"/>
          <w:highlight w:val="none"/>
        </w:rPr>
        <w:t>3.1.2评标委员会熟悉和理解比选文件以及评标过程中，发现本比选文件有下列情形之一的，评标委员会应当停止评标：</w:t>
      </w:r>
    </w:p>
    <w:p>
      <w:pPr>
        <w:spacing w:line="400" w:lineRule="exact"/>
        <w:ind w:firstLine="480" w:firstLineChars="200"/>
        <w:rPr>
          <w:rFonts w:hint="eastAsia" w:ascii="宋体"/>
          <w:sz w:val="24"/>
          <w:highlight w:val="none"/>
        </w:rPr>
      </w:pPr>
      <w:r>
        <w:rPr>
          <w:rFonts w:hint="eastAsia" w:ascii="宋体"/>
          <w:sz w:val="24"/>
          <w:highlight w:val="none"/>
        </w:rPr>
        <w:t>（1）比选文件的规定存在歧义、重大缺陷的；</w:t>
      </w:r>
    </w:p>
    <w:p>
      <w:pPr>
        <w:spacing w:line="400" w:lineRule="exact"/>
        <w:ind w:firstLine="480" w:firstLineChars="200"/>
        <w:rPr>
          <w:rFonts w:hint="eastAsia" w:ascii="宋体"/>
          <w:sz w:val="24"/>
          <w:highlight w:val="none"/>
        </w:rPr>
      </w:pPr>
      <w:r>
        <w:rPr>
          <w:rFonts w:hint="eastAsia" w:ascii="宋体"/>
          <w:sz w:val="24"/>
          <w:highlight w:val="none"/>
        </w:rPr>
        <w:t>（2）比选文件明显以不合理条件对供应商实行差别待遇或者歧视待遇的；</w:t>
      </w:r>
    </w:p>
    <w:p>
      <w:pPr>
        <w:spacing w:line="400" w:lineRule="exact"/>
        <w:ind w:firstLine="480" w:firstLineChars="200"/>
        <w:rPr>
          <w:rFonts w:hint="eastAsia" w:ascii="宋体"/>
          <w:sz w:val="24"/>
          <w:highlight w:val="none"/>
        </w:rPr>
      </w:pPr>
      <w:r>
        <w:rPr>
          <w:rFonts w:hint="eastAsia" w:ascii="宋体"/>
          <w:sz w:val="24"/>
          <w:highlight w:val="none"/>
        </w:rPr>
        <w:t>（3）采购项目属于国家规定的优先、强制采购范围，但是比选文件未依法体现优先、强制采购相关规定的；</w:t>
      </w:r>
    </w:p>
    <w:p>
      <w:pPr>
        <w:spacing w:line="400" w:lineRule="exact"/>
        <w:ind w:firstLine="480" w:firstLineChars="200"/>
        <w:rPr>
          <w:rFonts w:hint="eastAsia" w:ascii="宋体"/>
          <w:sz w:val="24"/>
          <w:highlight w:val="none"/>
        </w:rPr>
      </w:pPr>
      <w:r>
        <w:rPr>
          <w:rFonts w:hint="eastAsia" w:ascii="宋体"/>
          <w:sz w:val="24"/>
          <w:highlight w:val="none"/>
        </w:rPr>
        <w:t>（4）采购项目属于政府采购促进中小企业发展的范围，但是比选文件未依法体现促进中小企业发展相关规定的；</w:t>
      </w:r>
    </w:p>
    <w:p>
      <w:pPr>
        <w:spacing w:line="400" w:lineRule="exact"/>
        <w:ind w:firstLine="480" w:firstLineChars="200"/>
        <w:rPr>
          <w:rFonts w:hint="eastAsia" w:ascii="宋体"/>
          <w:sz w:val="24"/>
          <w:highlight w:val="none"/>
        </w:rPr>
      </w:pPr>
      <w:r>
        <w:rPr>
          <w:rFonts w:hint="eastAsia" w:ascii="宋体"/>
          <w:sz w:val="24"/>
          <w:highlight w:val="none"/>
        </w:rPr>
        <w:t>（5）比选文件规定的评标方法是综合评分法、最低评标价法之外的评标方法，或者虽然名称为综合评分法、最低评标价法，但实际上不符合国家规定；</w:t>
      </w:r>
    </w:p>
    <w:p>
      <w:pPr>
        <w:spacing w:line="400" w:lineRule="exact"/>
        <w:ind w:firstLine="480" w:firstLineChars="200"/>
        <w:rPr>
          <w:rFonts w:hint="eastAsia" w:ascii="宋体"/>
          <w:sz w:val="24"/>
          <w:highlight w:val="none"/>
        </w:rPr>
      </w:pPr>
      <w:r>
        <w:rPr>
          <w:rFonts w:hint="eastAsia" w:ascii="宋体"/>
          <w:sz w:val="24"/>
          <w:highlight w:val="none"/>
        </w:rPr>
        <w:t>（6）比选文件将供应商的资格条件列为评分因素的；</w:t>
      </w:r>
    </w:p>
    <w:p>
      <w:pPr>
        <w:spacing w:line="400" w:lineRule="exact"/>
        <w:ind w:firstLine="480" w:firstLineChars="200"/>
        <w:rPr>
          <w:rFonts w:hint="eastAsia" w:ascii="宋体"/>
          <w:sz w:val="24"/>
          <w:highlight w:val="none"/>
        </w:rPr>
      </w:pPr>
      <w:r>
        <w:rPr>
          <w:rFonts w:hint="eastAsia" w:ascii="宋体"/>
          <w:sz w:val="24"/>
          <w:highlight w:val="none"/>
        </w:rPr>
        <w:t>（7）比选文件有违反国家其他有关强制性规定的情形。</w:t>
      </w:r>
    </w:p>
    <w:p>
      <w:pPr>
        <w:spacing w:line="400" w:lineRule="exact"/>
        <w:ind w:firstLine="480" w:firstLineChars="200"/>
        <w:rPr>
          <w:rFonts w:hint="eastAsia" w:ascii="宋体"/>
          <w:sz w:val="24"/>
          <w:highlight w:val="none"/>
        </w:rPr>
      </w:pPr>
      <w:r>
        <w:rPr>
          <w:rFonts w:hint="eastAsia" w:ascii="宋体"/>
          <w:sz w:val="24"/>
          <w:highlight w:val="none"/>
        </w:rPr>
        <w:t>3.1.3出现本条3.1.2规定应当停止评标情形的，评标委员会成员应当向比选采购单位书面说明情况。除本条规定和评标委员会无法依法组建的情形外，评标委员会成员不得以任何方式和理由停止评标。</w:t>
      </w:r>
    </w:p>
    <w:p>
      <w:pPr>
        <w:spacing w:line="400" w:lineRule="exact"/>
        <w:ind w:firstLine="480" w:firstLineChars="200"/>
        <w:rPr>
          <w:rFonts w:hint="eastAsia" w:ascii="宋体"/>
          <w:sz w:val="24"/>
          <w:highlight w:val="none"/>
        </w:rPr>
      </w:pPr>
      <w:r>
        <w:rPr>
          <w:rFonts w:hint="eastAsia" w:ascii="宋体"/>
          <w:sz w:val="24"/>
          <w:highlight w:val="none"/>
        </w:rPr>
        <w:t>3.2资格性检查。</w:t>
      </w:r>
    </w:p>
    <w:p>
      <w:pPr>
        <w:spacing w:line="400" w:lineRule="exact"/>
        <w:ind w:firstLine="480" w:firstLineChars="200"/>
        <w:rPr>
          <w:rFonts w:hint="eastAsia" w:ascii="宋体"/>
          <w:sz w:val="24"/>
          <w:highlight w:val="none"/>
        </w:rPr>
      </w:pPr>
      <w:r>
        <w:rPr>
          <w:rFonts w:hint="eastAsia" w:ascii="宋体"/>
          <w:sz w:val="24"/>
          <w:highlight w:val="none"/>
        </w:rPr>
        <w:t>评标委员会应依据法律法规和本比选文件的规定，对比选</w:t>
      </w:r>
      <w:r>
        <w:rPr>
          <w:rFonts w:hint="eastAsia" w:ascii="宋体"/>
          <w:sz w:val="24"/>
          <w:highlight w:val="none"/>
          <w:lang w:eastAsia="zh-CN"/>
        </w:rPr>
        <w:t>申请</w:t>
      </w:r>
      <w:r>
        <w:rPr>
          <w:rFonts w:hint="eastAsia" w:ascii="宋体"/>
          <w:sz w:val="24"/>
          <w:highlight w:val="none"/>
        </w:rPr>
        <w:t>文件是否按照规定要求提供资格性证明材料、是否按照规定交纳比选保证金、是否属于禁止参加比选的供应商等进行审查，以确定比选供应商是否具备比选资格。</w:t>
      </w:r>
    </w:p>
    <w:p>
      <w:pPr>
        <w:spacing w:line="400" w:lineRule="exact"/>
        <w:ind w:firstLine="481" w:firstLineChars="200"/>
        <w:rPr>
          <w:rFonts w:hint="eastAsia" w:ascii="宋体"/>
          <w:b/>
          <w:sz w:val="24"/>
          <w:highlight w:val="none"/>
        </w:rPr>
      </w:pPr>
      <w:r>
        <w:rPr>
          <w:rFonts w:hint="eastAsia" w:ascii="宋体"/>
          <w:b/>
          <w:sz w:val="24"/>
          <w:highlight w:val="none"/>
        </w:rPr>
        <w:t>注：资格性检查适用于比选采购单位不自行进行资格性检查或者自行进行资格性检查，但有供应商的资格在评标阶段已经发生变化的采购项目。本项目需要评标委员会进行资格性检查。</w:t>
      </w:r>
    </w:p>
    <w:p>
      <w:pPr>
        <w:spacing w:line="400" w:lineRule="exact"/>
        <w:ind w:firstLine="480" w:firstLineChars="200"/>
        <w:rPr>
          <w:rFonts w:hint="eastAsia" w:ascii="宋体"/>
          <w:sz w:val="24"/>
          <w:highlight w:val="none"/>
        </w:rPr>
      </w:pPr>
      <w:r>
        <w:rPr>
          <w:rFonts w:hint="eastAsia" w:ascii="宋体"/>
          <w:sz w:val="24"/>
          <w:highlight w:val="none"/>
        </w:rPr>
        <w:t>3.3符合性检查。</w:t>
      </w:r>
    </w:p>
    <w:p>
      <w:pPr>
        <w:spacing w:line="400" w:lineRule="exact"/>
        <w:ind w:firstLine="480" w:firstLineChars="200"/>
        <w:rPr>
          <w:rFonts w:hint="eastAsia" w:ascii="宋体"/>
          <w:sz w:val="24"/>
          <w:highlight w:val="none"/>
        </w:rPr>
      </w:pPr>
      <w:r>
        <w:rPr>
          <w:rFonts w:hint="eastAsia" w:ascii="宋体"/>
          <w:sz w:val="24"/>
          <w:highlight w:val="none"/>
        </w:rPr>
        <w:t>3.3.1评标委员会依据本比选文件的实质性要求，对符合资格的比选</w:t>
      </w:r>
      <w:r>
        <w:rPr>
          <w:rFonts w:hint="eastAsia" w:ascii="宋体"/>
          <w:sz w:val="24"/>
          <w:highlight w:val="none"/>
          <w:lang w:eastAsia="zh-CN"/>
        </w:rPr>
        <w:t>申请</w:t>
      </w:r>
      <w:r>
        <w:rPr>
          <w:rFonts w:hint="eastAsia" w:ascii="宋体"/>
          <w:sz w:val="24"/>
          <w:highlight w:val="none"/>
        </w:rPr>
        <w:t>文件进行审查，以确定其是否满足本比选文件的实质性要求。本项目符合性审查事项仅限于本比选文件的明确规定。比选</w:t>
      </w:r>
      <w:r>
        <w:rPr>
          <w:rFonts w:hint="eastAsia" w:ascii="宋体"/>
          <w:sz w:val="24"/>
          <w:highlight w:val="none"/>
          <w:lang w:eastAsia="zh-CN"/>
        </w:rPr>
        <w:t>申请</w:t>
      </w:r>
      <w:r>
        <w:rPr>
          <w:rFonts w:hint="eastAsia" w:ascii="宋体"/>
          <w:sz w:val="24"/>
          <w:highlight w:val="none"/>
        </w:rPr>
        <w:t>文件是否满足比选文件的实质性要求，必须以本比选文件的明确规定作为依据，否则，不能对比选</w:t>
      </w:r>
      <w:r>
        <w:rPr>
          <w:rFonts w:hint="eastAsia" w:ascii="宋体"/>
          <w:sz w:val="24"/>
          <w:highlight w:val="none"/>
          <w:lang w:eastAsia="zh-CN"/>
        </w:rPr>
        <w:t>申请</w:t>
      </w:r>
      <w:r>
        <w:rPr>
          <w:rFonts w:hint="eastAsia" w:ascii="宋体"/>
          <w:sz w:val="24"/>
          <w:highlight w:val="none"/>
        </w:rPr>
        <w:t>文件作为无效处理，评标委员会不得臆测符合性审查事项。</w:t>
      </w:r>
    </w:p>
    <w:p>
      <w:pPr>
        <w:spacing w:line="400" w:lineRule="exact"/>
        <w:ind w:firstLine="480" w:firstLineChars="200"/>
        <w:rPr>
          <w:rFonts w:hint="eastAsia" w:ascii="宋体"/>
          <w:sz w:val="24"/>
          <w:highlight w:val="none"/>
        </w:rPr>
      </w:pPr>
      <w:r>
        <w:rPr>
          <w:rFonts w:hint="eastAsia" w:ascii="宋体"/>
          <w:sz w:val="24"/>
          <w:highlight w:val="none"/>
        </w:rPr>
        <w:t>3.3.2比选</w:t>
      </w:r>
      <w:r>
        <w:rPr>
          <w:rFonts w:hint="eastAsia" w:ascii="宋体"/>
          <w:sz w:val="24"/>
          <w:highlight w:val="none"/>
          <w:lang w:eastAsia="zh-CN"/>
        </w:rPr>
        <w:t>申请</w:t>
      </w:r>
      <w:r>
        <w:rPr>
          <w:rFonts w:hint="eastAsia" w:ascii="宋体"/>
          <w:sz w:val="24"/>
          <w:highlight w:val="none"/>
        </w:rPr>
        <w:t>文件（包括单独递交的开标一览表）有下列情形的，本项目不作为实质性要求进行规定，即不作为符合性审查事项，不得作为无效比选处理：</w:t>
      </w:r>
    </w:p>
    <w:p>
      <w:pPr>
        <w:spacing w:line="400" w:lineRule="exact"/>
        <w:ind w:firstLine="480" w:firstLineChars="200"/>
        <w:rPr>
          <w:rFonts w:hint="eastAsia" w:ascii="宋体"/>
          <w:sz w:val="24"/>
          <w:highlight w:val="none"/>
        </w:rPr>
      </w:pPr>
      <w:r>
        <w:rPr>
          <w:rFonts w:hint="eastAsia" w:ascii="宋体"/>
          <w:sz w:val="24"/>
          <w:highlight w:val="none"/>
        </w:rPr>
        <w:t>（一）正副本数量齐全、密封完好，只是未按照比选文件要求进行分装或者统装的；</w:t>
      </w:r>
    </w:p>
    <w:p>
      <w:pPr>
        <w:spacing w:line="400" w:lineRule="exact"/>
        <w:ind w:firstLine="480" w:firstLineChars="200"/>
        <w:rPr>
          <w:rFonts w:hint="eastAsia" w:ascii="宋体"/>
          <w:sz w:val="24"/>
          <w:highlight w:val="none"/>
        </w:rPr>
      </w:pPr>
      <w:r>
        <w:rPr>
          <w:rFonts w:hint="eastAsia" w:ascii="宋体"/>
          <w:sz w:val="24"/>
          <w:highlight w:val="none"/>
        </w:rPr>
        <w:t>（二）存在个别地方（不超过2个）没有法定代表人/单位负责人签字，但有法定代表人/单位负责人的私人印章或者有效授权代理人签字的；</w:t>
      </w:r>
    </w:p>
    <w:p>
      <w:pPr>
        <w:spacing w:line="400" w:lineRule="exact"/>
        <w:ind w:firstLine="480" w:firstLineChars="200"/>
        <w:rPr>
          <w:rFonts w:hint="eastAsia" w:ascii="宋体"/>
          <w:sz w:val="24"/>
          <w:highlight w:val="none"/>
        </w:rPr>
      </w:pPr>
      <w:r>
        <w:rPr>
          <w:rFonts w:hint="eastAsia" w:ascii="宋体"/>
          <w:sz w:val="24"/>
          <w:highlight w:val="none"/>
        </w:rPr>
        <w:t>（三）除比选文件明确要求加盖单位(法人)公章的以外，其他地方以相关专用章加盖的；</w:t>
      </w:r>
    </w:p>
    <w:p>
      <w:pPr>
        <w:spacing w:line="400" w:lineRule="exact"/>
        <w:ind w:firstLine="480" w:firstLineChars="200"/>
        <w:rPr>
          <w:rFonts w:hint="eastAsia" w:ascii="宋体"/>
          <w:sz w:val="24"/>
          <w:highlight w:val="none"/>
        </w:rPr>
      </w:pPr>
      <w:r>
        <w:rPr>
          <w:rFonts w:hint="eastAsia" w:ascii="宋体"/>
          <w:sz w:val="24"/>
          <w:highlight w:val="none"/>
        </w:rPr>
        <w:t>（四）以骑缝章的形式代替比选</w:t>
      </w:r>
      <w:r>
        <w:rPr>
          <w:rFonts w:hint="eastAsia" w:ascii="宋体"/>
          <w:sz w:val="24"/>
          <w:highlight w:val="none"/>
          <w:lang w:eastAsia="zh-CN"/>
        </w:rPr>
        <w:t>申请</w:t>
      </w:r>
      <w:r>
        <w:rPr>
          <w:rFonts w:hint="eastAsia" w:ascii="宋体"/>
          <w:sz w:val="24"/>
          <w:highlight w:val="none"/>
        </w:rPr>
        <w:t>文件内容逐页盖章的（但是骑缝章模糊不清，印章名称无法辨认的除外）；</w:t>
      </w:r>
    </w:p>
    <w:p>
      <w:pPr>
        <w:spacing w:line="400" w:lineRule="exact"/>
        <w:ind w:firstLine="480" w:firstLineChars="200"/>
        <w:rPr>
          <w:rFonts w:hint="eastAsia" w:ascii="宋体"/>
          <w:sz w:val="24"/>
          <w:highlight w:val="none"/>
        </w:rPr>
      </w:pPr>
      <w:r>
        <w:rPr>
          <w:rFonts w:hint="eastAsia" w:ascii="宋体"/>
          <w:sz w:val="24"/>
          <w:highlight w:val="none"/>
        </w:rPr>
        <w:t>（五）其他不影响采购项目实质性要求的情形。</w:t>
      </w:r>
    </w:p>
    <w:p>
      <w:pPr>
        <w:spacing w:line="400" w:lineRule="exact"/>
        <w:ind w:firstLine="480" w:firstLineChars="200"/>
        <w:rPr>
          <w:rFonts w:hint="eastAsia" w:ascii="宋体"/>
          <w:sz w:val="24"/>
          <w:highlight w:val="none"/>
        </w:rPr>
      </w:pPr>
      <w:r>
        <w:rPr>
          <w:rFonts w:hint="eastAsia" w:ascii="宋体"/>
          <w:sz w:val="24"/>
          <w:highlight w:val="none"/>
        </w:rPr>
        <w:t>3.3.3除政府采购法律制度规定的情形外，本项目供应商或者其比选</w:t>
      </w:r>
      <w:r>
        <w:rPr>
          <w:rFonts w:hint="eastAsia" w:ascii="宋体"/>
          <w:sz w:val="24"/>
          <w:highlight w:val="none"/>
          <w:lang w:eastAsia="zh-CN"/>
        </w:rPr>
        <w:t>申请</w:t>
      </w:r>
      <w:r>
        <w:rPr>
          <w:rFonts w:hint="eastAsia" w:ascii="宋体"/>
          <w:sz w:val="24"/>
          <w:highlight w:val="none"/>
        </w:rPr>
        <w:t>文件有下列情形之一的，作为无效比选处理：</w:t>
      </w:r>
    </w:p>
    <w:p>
      <w:pPr>
        <w:spacing w:line="400" w:lineRule="exact"/>
        <w:ind w:firstLine="480" w:firstLineChars="200"/>
        <w:rPr>
          <w:rFonts w:hint="eastAsia" w:ascii="宋体"/>
          <w:sz w:val="24"/>
          <w:highlight w:val="none"/>
        </w:rPr>
      </w:pPr>
      <w:r>
        <w:rPr>
          <w:rFonts w:hint="eastAsia" w:ascii="宋体"/>
          <w:sz w:val="24"/>
          <w:highlight w:val="none"/>
        </w:rPr>
        <w:t>（一）比选</w:t>
      </w:r>
      <w:r>
        <w:rPr>
          <w:rFonts w:hint="eastAsia" w:ascii="宋体"/>
          <w:sz w:val="24"/>
          <w:highlight w:val="none"/>
          <w:lang w:eastAsia="zh-CN"/>
        </w:rPr>
        <w:t>申请</w:t>
      </w:r>
      <w:r>
        <w:rPr>
          <w:rFonts w:hint="eastAsia" w:ascii="宋体"/>
          <w:sz w:val="24"/>
          <w:highlight w:val="none"/>
        </w:rPr>
        <w:t>文件正副本数量不足的；</w:t>
      </w:r>
    </w:p>
    <w:p>
      <w:pPr>
        <w:spacing w:line="400" w:lineRule="exact"/>
        <w:ind w:firstLine="480" w:firstLineChars="200"/>
        <w:rPr>
          <w:rFonts w:hint="eastAsia" w:ascii="宋体"/>
          <w:sz w:val="24"/>
          <w:highlight w:val="none"/>
        </w:rPr>
      </w:pPr>
      <w:r>
        <w:rPr>
          <w:rFonts w:hint="eastAsia" w:ascii="宋体"/>
          <w:sz w:val="24"/>
          <w:highlight w:val="none"/>
        </w:rPr>
        <w:t>（二）比选</w:t>
      </w:r>
      <w:r>
        <w:rPr>
          <w:rFonts w:hint="eastAsia" w:ascii="宋体"/>
          <w:sz w:val="24"/>
          <w:highlight w:val="none"/>
          <w:lang w:eastAsia="zh-CN"/>
        </w:rPr>
        <w:t>申请</w:t>
      </w:r>
      <w:r>
        <w:rPr>
          <w:rFonts w:hint="eastAsia" w:ascii="宋体"/>
          <w:sz w:val="24"/>
          <w:highlight w:val="none"/>
        </w:rPr>
        <w:t>文件组成明显不符合比选文件的规定要求，影响评标委员会评判的；</w:t>
      </w:r>
    </w:p>
    <w:p>
      <w:pPr>
        <w:spacing w:line="400" w:lineRule="exact"/>
        <w:ind w:firstLine="480" w:firstLineChars="200"/>
        <w:rPr>
          <w:rFonts w:hint="eastAsia" w:ascii="宋体"/>
          <w:sz w:val="24"/>
          <w:highlight w:val="none"/>
        </w:rPr>
      </w:pPr>
      <w:r>
        <w:rPr>
          <w:rFonts w:hint="eastAsia" w:ascii="宋体"/>
          <w:sz w:val="24"/>
          <w:highlight w:val="none"/>
        </w:rPr>
        <w:t>（三）比选</w:t>
      </w:r>
      <w:r>
        <w:rPr>
          <w:rFonts w:hint="eastAsia" w:ascii="宋体"/>
          <w:sz w:val="24"/>
          <w:highlight w:val="none"/>
          <w:lang w:eastAsia="zh-CN"/>
        </w:rPr>
        <w:t>申请</w:t>
      </w:r>
      <w:r>
        <w:rPr>
          <w:rFonts w:hint="eastAsia" w:ascii="宋体"/>
          <w:sz w:val="24"/>
          <w:highlight w:val="none"/>
        </w:rPr>
        <w:t>文件的格式、语言、计量单位、报价货币、知识产权、比选有效期等不符合比选文件的规定，影响评标委员会评判的；</w:t>
      </w:r>
    </w:p>
    <w:p>
      <w:pPr>
        <w:spacing w:line="400" w:lineRule="exact"/>
        <w:ind w:firstLine="480" w:firstLineChars="200"/>
        <w:rPr>
          <w:rFonts w:hint="eastAsia" w:ascii="宋体"/>
          <w:sz w:val="24"/>
          <w:highlight w:val="none"/>
        </w:rPr>
      </w:pPr>
      <w:r>
        <w:rPr>
          <w:rFonts w:hint="eastAsia" w:ascii="宋体"/>
          <w:sz w:val="24"/>
          <w:highlight w:val="none"/>
        </w:rPr>
        <w:t>（四）比选报价不符合比选文件规定的采购预算或限价或其他报价规定的；</w:t>
      </w:r>
    </w:p>
    <w:p>
      <w:pPr>
        <w:spacing w:line="400" w:lineRule="exact"/>
        <w:ind w:firstLine="480" w:firstLineChars="200"/>
        <w:rPr>
          <w:rFonts w:hint="eastAsia" w:ascii="宋体"/>
          <w:sz w:val="24"/>
          <w:highlight w:val="none"/>
        </w:rPr>
      </w:pPr>
      <w:r>
        <w:rPr>
          <w:rFonts w:hint="eastAsia" w:ascii="宋体"/>
          <w:sz w:val="24"/>
          <w:highlight w:val="none"/>
        </w:rPr>
        <w:t>（五）技术应答内容完全或者绝大部分复制比选文件规定要求，且无相关证明材料的（主要适用于专用设备和电子信息化建设采购项目，政府采购工程、政府采购协议供货或定点供应商采购、政府采购的货物属于规格标准统一或者订制产品的除外）；</w:t>
      </w:r>
    </w:p>
    <w:p>
      <w:pPr>
        <w:spacing w:line="400" w:lineRule="exact"/>
        <w:ind w:firstLine="480" w:firstLineChars="200"/>
        <w:rPr>
          <w:rFonts w:hint="eastAsia" w:ascii="宋体"/>
          <w:sz w:val="24"/>
          <w:highlight w:val="none"/>
        </w:rPr>
      </w:pPr>
      <w:r>
        <w:rPr>
          <w:rFonts w:hint="eastAsia" w:ascii="宋体"/>
          <w:sz w:val="24"/>
          <w:highlight w:val="none"/>
        </w:rPr>
        <w:t>（六）未载明或者载明的比选项目履约时间、方式、数量及其他政府采购合同实质性内容与比选文件要求不一致，且比选采购单位无法接受的。</w:t>
      </w:r>
    </w:p>
    <w:p>
      <w:pPr>
        <w:spacing w:line="400" w:lineRule="exact"/>
        <w:ind w:firstLine="480" w:firstLineChars="200"/>
        <w:rPr>
          <w:rFonts w:hint="eastAsia" w:ascii="宋体"/>
          <w:sz w:val="24"/>
          <w:highlight w:val="none"/>
        </w:rPr>
      </w:pPr>
      <w:r>
        <w:rPr>
          <w:rFonts w:hint="eastAsia" w:ascii="宋体"/>
          <w:sz w:val="24"/>
          <w:highlight w:val="none"/>
        </w:rPr>
        <w:t>（七）没有完全响应比选文件的其他实质性要求或属于比选文件中无效比选的情形。</w:t>
      </w:r>
    </w:p>
    <w:p>
      <w:pPr>
        <w:spacing w:line="400" w:lineRule="exact"/>
        <w:ind w:firstLine="480" w:firstLineChars="200"/>
        <w:rPr>
          <w:rFonts w:hint="eastAsia" w:ascii="宋体"/>
          <w:sz w:val="24"/>
          <w:highlight w:val="none"/>
        </w:rPr>
      </w:pPr>
      <w:r>
        <w:rPr>
          <w:rFonts w:hint="eastAsia" w:ascii="宋体"/>
          <w:sz w:val="24"/>
          <w:highlight w:val="none"/>
        </w:rPr>
        <w:t>3.4比较与评价。按比选文件中规定的评标方法和标准，对未作无效比选处理的比选</w:t>
      </w:r>
      <w:r>
        <w:rPr>
          <w:rFonts w:hint="eastAsia" w:ascii="宋体"/>
          <w:sz w:val="24"/>
          <w:highlight w:val="none"/>
          <w:lang w:eastAsia="zh-CN"/>
        </w:rPr>
        <w:t>申请</w:t>
      </w:r>
      <w:r>
        <w:rPr>
          <w:rFonts w:hint="eastAsia" w:ascii="宋体"/>
          <w:sz w:val="24"/>
          <w:highlight w:val="none"/>
        </w:rPr>
        <w:t>文件进行技术、服务、商务等方面评估，综合比较与评价。</w:t>
      </w:r>
    </w:p>
    <w:p>
      <w:pPr>
        <w:spacing w:line="400" w:lineRule="exact"/>
        <w:ind w:firstLine="480" w:firstLineChars="200"/>
        <w:rPr>
          <w:rFonts w:hint="eastAsia" w:ascii="宋体"/>
          <w:sz w:val="24"/>
          <w:highlight w:val="none"/>
        </w:rPr>
      </w:pPr>
      <w:r>
        <w:rPr>
          <w:rFonts w:hint="eastAsia" w:ascii="宋体"/>
          <w:sz w:val="24"/>
          <w:highlight w:val="none"/>
        </w:rPr>
        <w:t>3.5复核。评分汇总结束后，审查评定小组会应当进行复核，特别要对拟推荐为中标候选供应商的、报价最低的、比选</w:t>
      </w:r>
      <w:r>
        <w:rPr>
          <w:rFonts w:hint="eastAsia" w:ascii="宋体"/>
          <w:sz w:val="24"/>
          <w:highlight w:val="none"/>
          <w:lang w:eastAsia="zh-CN"/>
        </w:rPr>
        <w:t>申请</w:t>
      </w:r>
      <w:r>
        <w:rPr>
          <w:rFonts w:hint="eastAsia" w:ascii="宋体"/>
          <w:sz w:val="24"/>
          <w:highlight w:val="none"/>
        </w:rPr>
        <w:t>文件被认定为无效的进行重点复核。</w:t>
      </w:r>
    </w:p>
    <w:p>
      <w:pPr>
        <w:spacing w:line="400" w:lineRule="exact"/>
        <w:ind w:firstLine="480" w:firstLineChars="200"/>
        <w:rPr>
          <w:rFonts w:hint="eastAsia" w:ascii="宋体"/>
          <w:sz w:val="24"/>
          <w:highlight w:val="none"/>
        </w:rPr>
      </w:pPr>
      <w:r>
        <w:rPr>
          <w:rFonts w:hint="eastAsia" w:ascii="宋体"/>
          <w:sz w:val="24"/>
          <w:highlight w:val="none"/>
        </w:rPr>
        <w:t>3.6推荐中标候选供应商。中标候选供应商应当排序。采用最低评标价法的，评标结果按比选报价由低到高顺序排列；比选</w:t>
      </w:r>
      <w:r>
        <w:rPr>
          <w:rFonts w:hint="eastAsia" w:ascii="宋体"/>
          <w:sz w:val="24"/>
          <w:highlight w:val="none"/>
          <w:lang w:eastAsia="zh-CN"/>
        </w:rPr>
        <w:t>申请</w:t>
      </w:r>
      <w:r>
        <w:rPr>
          <w:rFonts w:hint="eastAsia" w:ascii="宋体"/>
          <w:sz w:val="24"/>
          <w:highlight w:val="none"/>
        </w:rPr>
        <w:t>文件满足比选文件全部实质性要求且比选报价最低的供应商为中标候选供应商；报价相同且满足比选文件全部实质性要求的并列，由比选人自主采取公平、择优的方式选择中标供应商。采用综合评分法的，按评审后得分由高到低顺序排列。得分相同的，按比选报价由低到高顺序排列。得分且比选报价相同的，按技术指标优劣顺序排列；报价相同且满足比选文件全部实质性要求且按照技术指标得分也相同的并列，由比选人自主采取公平、择优的方式选择中标供应商。</w:t>
      </w:r>
    </w:p>
    <w:p>
      <w:pPr>
        <w:spacing w:line="400" w:lineRule="exact"/>
        <w:ind w:firstLine="480" w:firstLineChars="200"/>
        <w:rPr>
          <w:rFonts w:hint="eastAsia" w:ascii="宋体"/>
          <w:sz w:val="24"/>
          <w:highlight w:val="none"/>
        </w:rPr>
      </w:pPr>
      <w:r>
        <w:rPr>
          <w:rFonts w:hint="eastAsia" w:ascii="宋体"/>
          <w:sz w:val="24"/>
          <w:highlight w:val="none"/>
        </w:rPr>
        <w:t>审查评定小组可推荐的中标候选供应商数量不能满足比选文件规定的数量的，只有在获得比选人书面同意后，可以根据实际情况推荐中标候选供应商。未获得比选人的书面同意,审查评定小组不得在比选文件规定之外推荐中标候选供应商，否则，比选人可以不予认可。</w:t>
      </w:r>
    </w:p>
    <w:p>
      <w:pPr>
        <w:spacing w:line="400" w:lineRule="exact"/>
        <w:ind w:firstLine="480" w:firstLineChars="200"/>
        <w:rPr>
          <w:rFonts w:hint="eastAsia" w:ascii="宋体"/>
          <w:sz w:val="24"/>
          <w:highlight w:val="none"/>
        </w:rPr>
      </w:pPr>
      <w:r>
        <w:rPr>
          <w:rFonts w:hint="eastAsia" w:ascii="宋体"/>
          <w:sz w:val="24"/>
          <w:highlight w:val="none"/>
        </w:rPr>
        <w:t>3.7出具比选报告。审查评定小组推荐中标候选供应商后，应当向比选采购单位出具比选报告。比选报告应当包括下列内容：</w:t>
      </w:r>
    </w:p>
    <w:p>
      <w:pPr>
        <w:spacing w:line="400" w:lineRule="exact"/>
        <w:ind w:firstLine="480" w:firstLineChars="200"/>
        <w:rPr>
          <w:rFonts w:hint="eastAsia" w:ascii="宋体"/>
          <w:sz w:val="24"/>
          <w:highlight w:val="none"/>
        </w:rPr>
      </w:pPr>
      <w:r>
        <w:rPr>
          <w:rFonts w:hint="eastAsia" w:ascii="宋体"/>
          <w:sz w:val="24"/>
          <w:highlight w:val="none"/>
        </w:rPr>
        <w:t>（一）比选公告刊登的媒体名称、比选日期和地点；</w:t>
      </w:r>
    </w:p>
    <w:p>
      <w:pPr>
        <w:spacing w:line="400" w:lineRule="exact"/>
        <w:ind w:firstLine="480" w:firstLineChars="200"/>
        <w:rPr>
          <w:rFonts w:hint="eastAsia" w:ascii="宋体"/>
          <w:sz w:val="24"/>
          <w:highlight w:val="none"/>
        </w:rPr>
      </w:pPr>
      <w:r>
        <w:rPr>
          <w:rFonts w:hint="eastAsia" w:ascii="宋体"/>
          <w:sz w:val="24"/>
          <w:highlight w:val="none"/>
        </w:rPr>
        <w:t>（二）获取比选文件的供应商名单和评标委员会成员名单；</w:t>
      </w:r>
    </w:p>
    <w:p>
      <w:pPr>
        <w:spacing w:line="400" w:lineRule="exact"/>
        <w:ind w:firstLine="480" w:firstLineChars="200"/>
        <w:rPr>
          <w:rFonts w:hint="eastAsia" w:ascii="宋体"/>
          <w:sz w:val="24"/>
          <w:highlight w:val="none"/>
        </w:rPr>
      </w:pPr>
      <w:r>
        <w:rPr>
          <w:rFonts w:hint="eastAsia" w:ascii="宋体"/>
          <w:sz w:val="24"/>
          <w:highlight w:val="none"/>
        </w:rPr>
        <w:t>（三）比选方法和标准；</w:t>
      </w:r>
    </w:p>
    <w:p>
      <w:pPr>
        <w:spacing w:line="400" w:lineRule="exact"/>
        <w:ind w:firstLine="480" w:firstLineChars="200"/>
        <w:rPr>
          <w:rFonts w:hint="eastAsia" w:ascii="宋体"/>
          <w:sz w:val="24"/>
          <w:highlight w:val="none"/>
        </w:rPr>
      </w:pPr>
      <w:r>
        <w:rPr>
          <w:rFonts w:hint="eastAsia" w:ascii="宋体"/>
          <w:sz w:val="24"/>
          <w:highlight w:val="none"/>
        </w:rPr>
        <w:t>（四）比选情况及说明，包括无效供应商名单及原因；</w:t>
      </w:r>
    </w:p>
    <w:p>
      <w:pPr>
        <w:spacing w:line="400" w:lineRule="exact"/>
        <w:ind w:firstLine="480" w:firstLineChars="200"/>
        <w:rPr>
          <w:rFonts w:hint="eastAsia" w:ascii="宋体"/>
          <w:sz w:val="24"/>
          <w:highlight w:val="none"/>
        </w:rPr>
      </w:pPr>
      <w:r>
        <w:rPr>
          <w:rFonts w:hint="eastAsia" w:ascii="宋体"/>
          <w:sz w:val="24"/>
          <w:highlight w:val="none"/>
        </w:rPr>
        <w:t>（五）比选结果和中标候选供应商排序表；</w:t>
      </w:r>
    </w:p>
    <w:p>
      <w:pPr>
        <w:spacing w:line="400" w:lineRule="exact"/>
        <w:ind w:firstLine="480" w:firstLineChars="200"/>
        <w:rPr>
          <w:rFonts w:hint="eastAsia" w:ascii="宋体"/>
          <w:sz w:val="24"/>
          <w:highlight w:val="none"/>
        </w:rPr>
      </w:pPr>
      <w:r>
        <w:rPr>
          <w:rFonts w:hint="eastAsia" w:ascii="宋体"/>
          <w:sz w:val="24"/>
          <w:highlight w:val="none"/>
        </w:rPr>
        <w:t>（六）审查评定小组授标建议；</w:t>
      </w:r>
    </w:p>
    <w:p>
      <w:pPr>
        <w:spacing w:line="400" w:lineRule="exact"/>
        <w:ind w:firstLine="480" w:firstLineChars="200"/>
        <w:rPr>
          <w:rFonts w:hint="eastAsia" w:ascii="宋体"/>
          <w:sz w:val="24"/>
          <w:highlight w:val="none"/>
        </w:rPr>
      </w:pPr>
      <w:r>
        <w:rPr>
          <w:rFonts w:hint="eastAsia" w:ascii="宋体"/>
          <w:sz w:val="24"/>
          <w:highlight w:val="none"/>
        </w:rPr>
        <w:t>（七）报价最高的供应商为中标候选人的，审查评定小组应当对其报价的合理性予以特别说明。</w:t>
      </w:r>
    </w:p>
    <w:p>
      <w:pPr>
        <w:spacing w:line="400" w:lineRule="exact"/>
        <w:ind w:firstLine="480" w:firstLineChars="200"/>
        <w:rPr>
          <w:rFonts w:hint="eastAsia" w:ascii="宋体"/>
          <w:sz w:val="24"/>
          <w:highlight w:val="none"/>
        </w:rPr>
      </w:pPr>
      <w:r>
        <w:rPr>
          <w:rFonts w:hint="eastAsia" w:ascii="宋体"/>
          <w:sz w:val="24"/>
          <w:highlight w:val="none"/>
        </w:rPr>
        <w:t>审查评定小组成员应当在比选报告中签字确认，对评标过程和结果有不同意见的，应当在比选报告中写明并说明理由。签字但未写明不同意见或者未说明理由的，视同无意见。拒不签字又未另行书面说明其不同意见和理由的，视同同意比选结果。</w:t>
      </w:r>
    </w:p>
    <w:p>
      <w:pPr>
        <w:spacing w:line="400" w:lineRule="exact"/>
        <w:ind w:firstLine="480" w:firstLineChars="200"/>
        <w:rPr>
          <w:rFonts w:hint="eastAsia" w:ascii="宋体"/>
          <w:sz w:val="24"/>
          <w:highlight w:val="none"/>
        </w:rPr>
      </w:pPr>
      <w:r>
        <w:rPr>
          <w:rFonts w:hint="eastAsia" w:ascii="宋体"/>
          <w:sz w:val="24"/>
          <w:highlight w:val="none"/>
        </w:rPr>
        <w:t>3.8比选争议处理规则。审查评定小组在评审过程中，对于资格性审查、符合性审查、对供应商比选</w:t>
      </w:r>
      <w:r>
        <w:rPr>
          <w:rFonts w:hint="eastAsia" w:ascii="宋体"/>
          <w:sz w:val="24"/>
          <w:highlight w:val="none"/>
          <w:lang w:eastAsia="zh-CN"/>
        </w:rPr>
        <w:t>申请</w:t>
      </w:r>
      <w:r>
        <w:rPr>
          <w:rFonts w:hint="eastAsia" w:ascii="宋体"/>
          <w:sz w:val="24"/>
          <w:highlight w:val="none"/>
        </w:rPr>
        <w:t>文件做无效比选处理及其他需要共同认定的事项存在争议的，应当以少数服从多数的原则做出结论，但不得违背法律法规和比选文件规定。有不同意见的审查评定小组成员认为认定过程和结果不符合法律法规或者比选文件规定的，应当及时向比选采购单位书面反映。比选采购单位收到书面反映后，应当书面报告采购项目同级财政部门依法处理。</w:t>
      </w:r>
    </w:p>
    <w:p>
      <w:pPr>
        <w:spacing w:line="400" w:lineRule="exact"/>
        <w:ind w:firstLine="480" w:firstLineChars="200"/>
        <w:rPr>
          <w:rFonts w:hint="eastAsia" w:ascii="宋体"/>
          <w:sz w:val="24"/>
          <w:highlight w:val="none"/>
        </w:rPr>
      </w:pPr>
      <w:r>
        <w:rPr>
          <w:rFonts w:hint="eastAsia" w:ascii="宋体"/>
          <w:sz w:val="24"/>
          <w:highlight w:val="none"/>
        </w:rPr>
        <w:t>3.9供应商应当书面澄清、说明或者更正。</w:t>
      </w:r>
    </w:p>
    <w:p>
      <w:pPr>
        <w:spacing w:line="400" w:lineRule="exact"/>
        <w:ind w:firstLine="480" w:firstLineChars="200"/>
        <w:rPr>
          <w:rFonts w:hint="eastAsia" w:ascii="宋体"/>
          <w:sz w:val="24"/>
          <w:highlight w:val="none"/>
        </w:rPr>
      </w:pPr>
      <w:r>
        <w:rPr>
          <w:rFonts w:hint="eastAsia" w:ascii="宋体"/>
          <w:sz w:val="24"/>
          <w:highlight w:val="none"/>
        </w:rPr>
        <w:t>3.9.1在比选过程中，供应商比选</w:t>
      </w:r>
      <w:r>
        <w:rPr>
          <w:rFonts w:hint="eastAsia" w:ascii="宋体"/>
          <w:sz w:val="24"/>
          <w:highlight w:val="none"/>
          <w:lang w:eastAsia="zh-CN"/>
        </w:rPr>
        <w:t>申请</w:t>
      </w:r>
      <w:r>
        <w:rPr>
          <w:rFonts w:hint="eastAsia" w:ascii="宋体"/>
          <w:sz w:val="24"/>
          <w:highlight w:val="none"/>
        </w:rPr>
        <w:t>文件实质性符合比选文件要求的前提下，审查评定小组对比选</w:t>
      </w:r>
      <w:r>
        <w:rPr>
          <w:rFonts w:hint="eastAsia" w:ascii="宋体"/>
          <w:sz w:val="24"/>
          <w:highlight w:val="none"/>
          <w:lang w:eastAsia="zh-CN"/>
        </w:rPr>
        <w:t>申请</w:t>
      </w:r>
      <w:r>
        <w:rPr>
          <w:rFonts w:hint="eastAsia" w:ascii="宋体"/>
          <w:sz w:val="24"/>
          <w:highlight w:val="none"/>
        </w:rPr>
        <w:t>文件中含义不明确、同类问题表述不一致或者有明显文字和计算错误的内容，应当以书面形式（须由审查评定小组全体成员签字）要求供应商作出必要的书面澄清、说明或者更正，并给予供应商必要的反馈时间。</w:t>
      </w:r>
    </w:p>
    <w:p>
      <w:pPr>
        <w:spacing w:line="400" w:lineRule="exact"/>
        <w:ind w:firstLine="480" w:firstLineChars="200"/>
        <w:rPr>
          <w:rFonts w:hint="eastAsia" w:ascii="宋体"/>
          <w:sz w:val="24"/>
          <w:highlight w:val="none"/>
        </w:rPr>
      </w:pPr>
      <w:r>
        <w:rPr>
          <w:rFonts w:hint="eastAsia" w:ascii="宋体"/>
          <w:sz w:val="24"/>
          <w:highlight w:val="none"/>
        </w:rPr>
        <w:t>3.9.2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比选</w:t>
      </w:r>
      <w:r>
        <w:rPr>
          <w:rFonts w:hint="eastAsia" w:ascii="宋体"/>
          <w:sz w:val="24"/>
          <w:highlight w:val="none"/>
          <w:lang w:eastAsia="zh-CN"/>
        </w:rPr>
        <w:t>申请</w:t>
      </w:r>
      <w:r>
        <w:rPr>
          <w:rFonts w:hint="eastAsia" w:ascii="宋体"/>
          <w:sz w:val="24"/>
          <w:highlight w:val="none"/>
        </w:rPr>
        <w:t>文件的效力，有效的澄清、说明或者更正材料，是比选</w:t>
      </w:r>
      <w:r>
        <w:rPr>
          <w:rFonts w:hint="eastAsia" w:ascii="宋体"/>
          <w:sz w:val="24"/>
          <w:highlight w:val="none"/>
          <w:lang w:eastAsia="zh-CN"/>
        </w:rPr>
        <w:t>申请</w:t>
      </w:r>
      <w:r>
        <w:rPr>
          <w:rFonts w:hint="eastAsia" w:ascii="宋体"/>
          <w:sz w:val="24"/>
          <w:highlight w:val="none"/>
        </w:rPr>
        <w:t>文件的组成部分。</w:t>
      </w:r>
    </w:p>
    <w:p>
      <w:pPr>
        <w:spacing w:line="400" w:lineRule="exact"/>
        <w:ind w:firstLine="480" w:firstLineChars="200"/>
        <w:rPr>
          <w:rFonts w:hint="eastAsia" w:ascii="宋体"/>
          <w:sz w:val="24"/>
          <w:highlight w:val="none"/>
        </w:rPr>
      </w:pPr>
      <w:r>
        <w:rPr>
          <w:rFonts w:hint="eastAsia" w:ascii="宋体"/>
          <w:sz w:val="24"/>
          <w:highlight w:val="none"/>
        </w:rPr>
        <w:t>3.9.3审查评定小组要求供应商澄清、说明或者更正，不得超出比选</w:t>
      </w:r>
      <w:r>
        <w:rPr>
          <w:rFonts w:hint="eastAsia" w:ascii="宋体"/>
          <w:sz w:val="24"/>
          <w:highlight w:val="none"/>
          <w:lang w:eastAsia="zh-CN"/>
        </w:rPr>
        <w:t>申请</w:t>
      </w:r>
      <w:r>
        <w:rPr>
          <w:rFonts w:hint="eastAsia" w:ascii="宋体"/>
          <w:sz w:val="24"/>
          <w:highlight w:val="none"/>
        </w:rPr>
        <w:t>文件的范围，不得以此让供应商实质改变比选</w:t>
      </w:r>
      <w:r>
        <w:rPr>
          <w:rFonts w:hint="eastAsia" w:ascii="宋体"/>
          <w:sz w:val="24"/>
          <w:highlight w:val="none"/>
          <w:lang w:eastAsia="zh-CN"/>
        </w:rPr>
        <w:t>申请</w:t>
      </w:r>
      <w:r>
        <w:rPr>
          <w:rFonts w:hint="eastAsia" w:ascii="宋体"/>
          <w:sz w:val="24"/>
          <w:highlight w:val="none"/>
        </w:rPr>
        <w:t>文件的内容，不得影响供应商公平竞争。本项目下列内容不得澄清：</w:t>
      </w:r>
    </w:p>
    <w:p>
      <w:pPr>
        <w:spacing w:line="400" w:lineRule="exact"/>
        <w:ind w:firstLine="480" w:firstLineChars="200"/>
        <w:rPr>
          <w:rFonts w:hint="eastAsia" w:ascii="宋体"/>
          <w:sz w:val="24"/>
          <w:highlight w:val="none"/>
        </w:rPr>
      </w:pPr>
      <w:r>
        <w:rPr>
          <w:rFonts w:hint="eastAsia" w:ascii="宋体"/>
          <w:sz w:val="24"/>
          <w:highlight w:val="none"/>
        </w:rPr>
        <w:t>（一）按财政部规定应当在评标时不予承认的比选</w:t>
      </w:r>
      <w:r>
        <w:rPr>
          <w:rFonts w:hint="eastAsia" w:ascii="宋体"/>
          <w:sz w:val="24"/>
          <w:highlight w:val="none"/>
          <w:lang w:eastAsia="zh-CN"/>
        </w:rPr>
        <w:t>申请</w:t>
      </w:r>
      <w:r>
        <w:rPr>
          <w:rFonts w:hint="eastAsia" w:ascii="宋体"/>
          <w:sz w:val="24"/>
          <w:highlight w:val="none"/>
        </w:rPr>
        <w:t>文件内容事项；</w:t>
      </w:r>
    </w:p>
    <w:p>
      <w:pPr>
        <w:spacing w:line="400" w:lineRule="exact"/>
        <w:ind w:firstLine="480" w:firstLineChars="200"/>
        <w:rPr>
          <w:rFonts w:hint="eastAsia" w:ascii="宋体"/>
          <w:sz w:val="24"/>
          <w:highlight w:val="none"/>
        </w:rPr>
      </w:pPr>
      <w:r>
        <w:rPr>
          <w:rFonts w:hint="eastAsia" w:ascii="宋体"/>
          <w:sz w:val="24"/>
          <w:highlight w:val="none"/>
        </w:rPr>
        <w:t>（二）比选</w:t>
      </w:r>
      <w:r>
        <w:rPr>
          <w:rFonts w:hint="eastAsia" w:ascii="宋体"/>
          <w:sz w:val="24"/>
          <w:highlight w:val="none"/>
          <w:lang w:eastAsia="zh-CN"/>
        </w:rPr>
        <w:t>申请</w:t>
      </w:r>
      <w:r>
        <w:rPr>
          <w:rFonts w:hint="eastAsia" w:ascii="宋体"/>
          <w:sz w:val="24"/>
          <w:highlight w:val="none"/>
        </w:rPr>
        <w:t>文件中已经明确的内容事项；</w:t>
      </w:r>
    </w:p>
    <w:p>
      <w:pPr>
        <w:spacing w:line="400" w:lineRule="exact"/>
        <w:ind w:firstLine="480" w:firstLineChars="200"/>
        <w:rPr>
          <w:rFonts w:hint="eastAsia" w:ascii="宋体"/>
          <w:sz w:val="24"/>
          <w:highlight w:val="none"/>
        </w:rPr>
      </w:pPr>
      <w:r>
        <w:rPr>
          <w:rFonts w:hint="eastAsia" w:ascii="宋体"/>
          <w:sz w:val="24"/>
          <w:highlight w:val="none"/>
        </w:rPr>
        <w:t>3.9.4 本项目采购过程中，比选</w:t>
      </w:r>
      <w:r>
        <w:rPr>
          <w:rFonts w:hint="eastAsia" w:ascii="宋体"/>
          <w:sz w:val="24"/>
          <w:highlight w:val="none"/>
          <w:lang w:eastAsia="zh-CN"/>
        </w:rPr>
        <w:t>申请</w:t>
      </w:r>
      <w:r>
        <w:rPr>
          <w:rFonts w:hint="eastAsia" w:ascii="宋体"/>
          <w:sz w:val="24"/>
          <w:highlight w:val="none"/>
        </w:rPr>
        <w:t>文件出现下列情况的，不需要供应商澄清、说明或者更正，按照以下原则处理：</w:t>
      </w:r>
    </w:p>
    <w:p>
      <w:pPr>
        <w:spacing w:line="400" w:lineRule="exact"/>
        <w:ind w:firstLine="480" w:firstLineChars="200"/>
        <w:rPr>
          <w:rFonts w:hint="eastAsia" w:ascii="宋体"/>
          <w:sz w:val="24"/>
          <w:highlight w:val="none"/>
        </w:rPr>
      </w:pPr>
      <w:r>
        <w:rPr>
          <w:rFonts w:hint="eastAsia" w:ascii="宋体"/>
          <w:sz w:val="24"/>
          <w:highlight w:val="none"/>
        </w:rPr>
        <w:t>（一）比选</w:t>
      </w:r>
      <w:r>
        <w:rPr>
          <w:rFonts w:hint="eastAsia" w:ascii="宋体"/>
          <w:sz w:val="24"/>
          <w:highlight w:val="none"/>
          <w:lang w:eastAsia="zh-CN"/>
        </w:rPr>
        <w:t>申请</w:t>
      </w:r>
      <w:r>
        <w:rPr>
          <w:rFonts w:hint="eastAsia" w:ascii="宋体"/>
          <w:sz w:val="24"/>
          <w:highlight w:val="none"/>
        </w:rPr>
        <w:t>文件的大写金额和小写金额不一致的，以大写金额为准，但大写金额出现文字错误，导致金额无法判断的除外；</w:t>
      </w:r>
    </w:p>
    <w:p>
      <w:pPr>
        <w:spacing w:line="400" w:lineRule="exact"/>
        <w:ind w:firstLine="480" w:firstLineChars="200"/>
        <w:rPr>
          <w:rFonts w:hint="eastAsia" w:ascii="宋体"/>
          <w:sz w:val="24"/>
          <w:highlight w:val="none"/>
        </w:rPr>
      </w:pPr>
      <w:r>
        <w:rPr>
          <w:rFonts w:hint="eastAsia" w:ascii="宋体"/>
          <w:sz w:val="24"/>
          <w:highlight w:val="none"/>
        </w:rPr>
        <w:t>（二）总价金额与按单价汇总金额不一致的，以单价汇总金额计算结果为准，但是单价金额出现计算错误、明显人为工作失误的除外；</w:t>
      </w:r>
    </w:p>
    <w:p>
      <w:pPr>
        <w:spacing w:line="400" w:lineRule="exact"/>
        <w:ind w:firstLine="480" w:firstLineChars="200"/>
        <w:rPr>
          <w:rFonts w:hint="eastAsia" w:ascii="宋体"/>
          <w:sz w:val="24"/>
          <w:highlight w:val="none"/>
        </w:rPr>
      </w:pPr>
      <w:r>
        <w:rPr>
          <w:rFonts w:hint="eastAsia" w:ascii="宋体"/>
          <w:sz w:val="24"/>
          <w:highlight w:val="none"/>
        </w:rPr>
        <w:t>（三）单价金额小数点有明显错位的，应以总价为准，并修改单价；</w:t>
      </w:r>
    </w:p>
    <w:p>
      <w:pPr>
        <w:spacing w:line="400" w:lineRule="exact"/>
        <w:ind w:firstLine="480" w:firstLineChars="200"/>
        <w:rPr>
          <w:rFonts w:hint="eastAsia" w:ascii="宋体"/>
          <w:sz w:val="24"/>
          <w:highlight w:val="none"/>
        </w:rPr>
      </w:pPr>
      <w:r>
        <w:rPr>
          <w:rFonts w:hint="eastAsia" w:ascii="宋体"/>
          <w:sz w:val="24"/>
          <w:highlight w:val="none"/>
        </w:rPr>
        <w:t>（四）对不同语言文本比选</w:t>
      </w:r>
      <w:r>
        <w:rPr>
          <w:rFonts w:hint="eastAsia" w:ascii="宋体"/>
          <w:sz w:val="24"/>
          <w:highlight w:val="none"/>
          <w:lang w:eastAsia="zh-CN"/>
        </w:rPr>
        <w:t>申请</w:t>
      </w:r>
      <w:r>
        <w:rPr>
          <w:rFonts w:hint="eastAsia" w:ascii="宋体"/>
          <w:sz w:val="24"/>
          <w:highlight w:val="none"/>
        </w:rPr>
        <w:t>文件的解释发生异议的，以中文文本为准。</w:t>
      </w:r>
    </w:p>
    <w:p>
      <w:pPr>
        <w:spacing w:line="400" w:lineRule="exact"/>
        <w:ind w:firstLine="480" w:firstLineChars="200"/>
        <w:rPr>
          <w:rFonts w:hint="eastAsia" w:ascii="宋体"/>
          <w:sz w:val="24"/>
          <w:highlight w:val="none"/>
        </w:rPr>
      </w:pPr>
      <w:r>
        <w:rPr>
          <w:rFonts w:hint="eastAsia" w:ascii="宋体"/>
          <w:sz w:val="24"/>
          <w:highlight w:val="none"/>
        </w:rPr>
        <w:t>出现本条第（二）项规定情形，单价汇总金额比总价金额高，且超过政府采购预算或者本项目最高限价的，供应商比选</w:t>
      </w:r>
      <w:r>
        <w:rPr>
          <w:rFonts w:hint="eastAsia" w:ascii="宋体"/>
          <w:sz w:val="24"/>
          <w:highlight w:val="none"/>
          <w:lang w:eastAsia="zh-CN"/>
        </w:rPr>
        <w:t>申请</w:t>
      </w:r>
      <w:r>
        <w:rPr>
          <w:rFonts w:hint="eastAsia" w:ascii="宋体"/>
          <w:sz w:val="24"/>
          <w:highlight w:val="none"/>
        </w:rPr>
        <w:t>文件应作为无效比选处理；单价汇总金额比总价金额高，但未超过政府采购预算或者本项目最高限价的，应以单价汇总金额作为价格评分依据。</w:t>
      </w:r>
    </w:p>
    <w:p>
      <w:pPr>
        <w:spacing w:line="400" w:lineRule="exact"/>
        <w:ind w:firstLine="481" w:firstLineChars="200"/>
        <w:rPr>
          <w:rFonts w:hint="eastAsia" w:ascii="宋体"/>
          <w:b/>
          <w:sz w:val="24"/>
          <w:highlight w:val="none"/>
        </w:rPr>
      </w:pPr>
      <w:r>
        <w:rPr>
          <w:rFonts w:hint="eastAsia" w:ascii="宋体"/>
          <w:b/>
          <w:sz w:val="24"/>
          <w:highlight w:val="none"/>
        </w:rPr>
        <w:t>注：审查评定小组当积极履行澄清、说明或者更正的职责，不得滥用权力。供应商的比选</w:t>
      </w:r>
      <w:r>
        <w:rPr>
          <w:rFonts w:hint="eastAsia" w:ascii="宋体"/>
          <w:b/>
          <w:sz w:val="24"/>
          <w:highlight w:val="none"/>
          <w:lang w:eastAsia="zh-CN"/>
        </w:rPr>
        <w:t>申请</w:t>
      </w:r>
      <w:r>
        <w:rPr>
          <w:rFonts w:hint="eastAsia" w:ascii="宋体"/>
          <w:b/>
          <w:sz w:val="24"/>
          <w:highlight w:val="none"/>
        </w:rPr>
        <w:t>文件可以要求澄清、说明或者更正的，不得未经澄清、说明或者更正而直接作无效比选处理。</w:t>
      </w:r>
    </w:p>
    <w:p>
      <w:pPr>
        <w:pStyle w:val="41"/>
        <w:ind w:firstLine="480" w:firstLineChars="200"/>
        <w:jc w:val="both"/>
        <w:rPr>
          <w:rFonts w:hint="eastAsia"/>
          <w:highlight w:val="none"/>
        </w:rPr>
      </w:pPr>
      <w:r>
        <w:rPr>
          <w:rFonts w:hint="eastAsia"/>
          <w:highlight w:val="none"/>
        </w:rPr>
        <w:t>3.10 低于成本价比选处理。在比选过程中，供应商报价低于采购预算50%或者低于其他有效供应商报价算术平均价40%，有可能影响产品质量或者不能诚信履约的，审查评定小组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41"/>
        <w:ind w:firstLine="480" w:firstLineChars="200"/>
        <w:jc w:val="both"/>
        <w:rPr>
          <w:rFonts w:hint="eastAsia"/>
          <w:highlight w:val="none"/>
        </w:rPr>
      </w:pPr>
      <w:r>
        <w:rPr>
          <w:rFonts w:hint="eastAsia"/>
          <w:highlight w:val="none"/>
        </w:rPr>
        <w:t>供应商书面说明应当签字确认或者加盖公章，否则无效。书面说明的签字确认，供应商为法人的，由其法定代表人/单位负责人或者代理人签字确认；供应商为其他组织的，由其主要负责人或者代理人签字确认；供应商为自然人的，由其本人或者代理人签字确认。</w:t>
      </w:r>
    </w:p>
    <w:p>
      <w:pPr>
        <w:pStyle w:val="41"/>
        <w:ind w:firstLine="480" w:firstLineChars="200"/>
        <w:jc w:val="both"/>
        <w:rPr>
          <w:rFonts w:hint="eastAsia"/>
          <w:highlight w:val="none"/>
        </w:rPr>
      </w:pPr>
      <w:r>
        <w:rPr>
          <w:rFonts w:hint="eastAsia"/>
          <w:highlight w:val="none"/>
        </w:rPr>
        <w:t>供应商提供书面说明后，审查评定小组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比选</w:t>
      </w:r>
      <w:r>
        <w:rPr>
          <w:rFonts w:hint="eastAsia"/>
          <w:highlight w:val="none"/>
          <w:lang w:eastAsia="zh-CN"/>
        </w:rPr>
        <w:t>申请</w:t>
      </w:r>
      <w:r>
        <w:rPr>
          <w:rFonts w:hint="eastAsia"/>
          <w:highlight w:val="none"/>
        </w:rPr>
        <w:t>文件、响应文件作为无效处理。</w:t>
      </w:r>
    </w:p>
    <w:p>
      <w:pPr>
        <w:pStyle w:val="41"/>
        <w:ind w:firstLine="480" w:firstLineChars="200"/>
        <w:jc w:val="both"/>
        <w:rPr>
          <w:rFonts w:hint="eastAsia"/>
          <w:highlight w:val="none"/>
        </w:rPr>
      </w:pPr>
      <w:r>
        <w:rPr>
          <w:rFonts w:hint="eastAsia"/>
          <w:highlight w:val="none"/>
        </w:rPr>
        <w:t>3.11比选采购单位现场复核比选结果。</w:t>
      </w:r>
    </w:p>
    <w:p>
      <w:pPr>
        <w:pStyle w:val="41"/>
        <w:ind w:firstLine="480" w:firstLineChars="200"/>
        <w:jc w:val="both"/>
        <w:rPr>
          <w:rFonts w:hint="eastAsia"/>
          <w:highlight w:val="none"/>
        </w:rPr>
      </w:pPr>
      <w:r>
        <w:rPr>
          <w:rFonts w:hint="eastAsia"/>
          <w:highlight w:val="none"/>
        </w:rPr>
        <w:t>3.11.1比选结果汇总完成后，审查评定小组拟出具比选报告前，比选采购单位应当组织2名以上的本单位工作人员，在采购现场监督人员的监督之下，依据有关的法律制度和采购文件对比选结果进行复核，出具复核报告。存在下列情形之一的，比选采购单位应当根据情况书面建议评标委员会现场修改评标结果或者重新评标：</w:t>
      </w:r>
    </w:p>
    <w:p>
      <w:pPr>
        <w:pStyle w:val="41"/>
        <w:ind w:firstLine="480" w:firstLineChars="200"/>
        <w:jc w:val="both"/>
        <w:rPr>
          <w:rFonts w:hint="eastAsia"/>
          <w:highlight w:val="none"/>
        </w:rPr>
      </w:pPr>
      <w:r>
        <w:rPr>
          <w:rFonts w:hint="eastAsia"/>
          <w:highlight w:val="none"/>
        </w:rPr>
        <w:t>（一）资格性审查认定错误的；</w:t>
      </w:r>
    </w:p>
    <w:p>
      <w:pPr>
        <w:pStyle w:val="41"/>
        <w:ind w:firstLine="480" w:firstLineChars="200"/>
        <w:jc w:val="both"/>
        <w:rPr>
          <w:rFonts w:hint="eastAsia"/>
          <w:highlight w:val="none"/>
        </w:rPr>
      </w:pPr>
      <w:r>
        <w:rPr>
          <w:rFonts w:hint="eastAsia"/>
          <w:highlight w:val="none"/>
        </w:rPr>
        <w:t>（二）分值汇总计算错误的；</w:t>
      </w:r>
    </w:p>
    <w:p>
      <w:pPr>
        <w:pStyle w:val="41"/>
        <w:ind w:firstLine="480" w:firstLineChars="200"/>
        <w:jc w:val="both"/>
        <w:rPr>
          <w:rFonts w:hint="eastAsia"/>
          <w:highlight w:val="none"/>
        </w:rPr>
      </w:pPr>
      <w:r>
        <w:rPr>
          <w:rFonts w:hint="eastAsia"/>
          <w:highlight w:val="none"/>
        </w:rPr>
        <w:t>（三）分项评分超出评分标准范围的；</w:t>
      </w:r>
    </w:p>
    <w:p>
      <w:pPr>
        <w:pStyle w:val="41"/>
        <w:ind w:firstLine="480" w:firstLineChars="200"/>
        <w:jc w:val="both"/>
        <w:rPr>
          <w:rFonts w:hint="eastAsia"/>
          <w:highlight w:val="none"/>
        </w:rPr>
      </w:pPr>
      <w:r>
        <w:rPr>
          <w:rFonts w:hint="eastAsia"/>
          <w:highlight w:val="none"/>
        </w:rPr>
        <w:t>（四）客观评分不一致的。</w:t>
      </w:r>
    </w:p>
    <w:p>
      <w:pPr>
        <w:pStyle w:val="41"/>
        <w:ind w:firstLine="480" w:firstLineChars="200"/>
        <w:jc w:val="both"/>
        <w:rPr>
          <w:rFonts w:hint="eastAsia"/>
          <w:highlight w:val="none"/>
        </w:rPr>
      </w:pPr>
      <w:r>
        <w:rPr>
          <w:rFonts w:hint="eastAsia"/>
          <w:highlight w:val="none"/>
        </w:rPr>
        <w:t>存在本条上述规定情形的，由审查评定小组自主决定是否采纳比选采购单位的书面建议，并承担独立评审责任。审查评定小组采纳比选采购单位书面建议的，应当按照规定现场修改比选结果或者重新比选，并在比选报告中详细记载有关事宜；不采纳比选采购单位书面建议的，应当书面说明理由。比选采购单位书面建议未被审查评定小组采纳的，应当按照规定程序要求继续组织实施采购活动，不得擅自中止采购活动。比选采购单位认为审查评定小组评标结果不合法的，应当书面报告采购项目同级财政部门依法处理。</w:t>
      </w:r>
    </w:p>
    <w:p>
      <w:pPr>
        <w:pStyle w:val="41"/>
        <w:ind w:firstLine="480" w:firstLineChars="200"/>
        <w:jc w:val="both"/>
        <w:rPr>
          <w:rFonts w:hint="eastAsia"/>
          <w:highlight w:val="none"/>
        </w:rPr>
      </w:pPr>
      <w:r>
        <w:rPr>
          <w:rFonts w:hint="eastAsia"/>
          <w:highlight w:val="none"/>
        </w:rPr>
        <w:t>3.11.2有下列情形之一的，不得修改比选结果或者重新比选：</w:t>
      </w:r>
    </w:p>
    <w:p>
      <w:pPr>
        <w:pStyle w:val="41"/>
        <w:ind w:firstLine="480" w:firstLineChars="200"/>
        <w:jc w:val="both"/>
        <w:rPr>
          <w:rFonts w:hint="eastAsia"/>
          <w:highlight w:val="none"/>
        </w:rPr>
      </w:pPr>
      <w:r>
        <w:rPr>
          <w:rFonts w:hint="eastAsia"/>
          <w:highlight w:val="none"/>
        </w:rPr>
        <w:t>（一）审查评定小组已经出具比选报告并且离开比选现场的；</w:t>
      </w:r>
    </w:p>
    <w:p>
      <w:pPr>
        <w:pStyle w:val="41"/>
        <w:ind w:firstLine="480" w:firstLineChars="200"/>
        <w:jc w:val="both"/>
        <w:rPr>
          <w:rFonts w:hint="eastAsia"/>
          <w:highlight w:val="none"/>
        </w:rPr>
      </w:pPr>
      <w:r>
        <w:rPr>
          <w:rFonts w:hint="eastAsia"/>
          <w:highlight w:val="none"/>
        </w:rPr>
        <w:t>（二）比选采购单位现场复核时，复核工作人员数量不足的；</w:t>
      </w:r>
    </w:p>
    <w:p>
      <w:pPr>
        <w:pStyle w:val="41"/>
        <w:ind w:firstLine="480" w:firstLineChars="200"/>
        <w:jc w:val="both"/>
        <w:rPr>
          <w:rFonts w:hint="eastAsia"/>
          <w:highlight w:val="none"/>
        </w:rPr>
      </w:pPr>
      <w:r>
        <w:rPr>
          <w:rFonts w:hint="eastAsia"/>
          <w:highlight w:val="none"/>
        </w:rPr>
        <w:t>（三）比选采购单位现场复核时，没有采购监督人员现场监督的；</w:t>
      </w:r>
    </w:p>
    <w:p>
      <w:pPr>
        <w:pStyle w:val="41"/>
        <w:ind w:firstLine="480" w:firstLineChars="200"/>
        <w:jc w:val="both"/>
        <w:rPr>
          <w:rFonts w:hint="eastAsia"/>
          <w:highlight w:val="none"/>
        </w:rPr>
      </w:pPr>
      <w:r>
        <w:rPr>
          <w:rFonts w:hint="eastAsia"/>
          <w:highlight w:val="none"/>
        </w:rPr>
        <w:t>（四）比选采购单位现场复核内容超出规定范围的；</w:t>
      </w:r>
    </w:p>
    <w:p>
      <w:pPr>
        <w:pStyle w:val="41"/>
        <w:ind w:firstLine="480" w:firstLineChars="200"/>
        <w:jc w:val="both"/>
        <w:rPr>
          <w:rFonts w:hint="eastAsia"/>
          <w:highlight w:val="none"/>
        </w:rPr>
      </w:pPr>
      <w:r>
        <w:rPr>
          <w:rFonts w:hint="eastAsia"/>
          <w:highlight w:val="none"/>
        </w:rPr>
        <w:t>（五）比选采购单位未提供书面建议的。</w:t>
      </w:r>
    </w:p>
    <w:p>
      <w:pPr>
        <w:spacing w:line="400" w:lineRule="exact"/>
        <w:ind w:firstLine="480" w:firstLineChars="200"/>
        <w:rPr>
          <w:rFonts w:hint="eastAsia" w:ascii="宋体"/>
          <w:sz w:val="24"/>
          <w:highlight w:val="none"/>
        </w:rPr>
      </w:pPr>
      <w:r>
        <w:rPr>
          <w:rFonts w:hint="eastAsia" w:ascii="宋体"/>
          <w:sz w:val="24"/>
          <w:highlight w:val="none"/>
        </w:rPr>
        <w:t>4. 评标细则及标准</w:t>
      </w:r>
      <w:bookmarkEnd w:id="145"/>
    </w:p>
    <w:p>
      <w:pPr>
        <w:spacing w:line="400" w:lineRule="exact"/>
        <w:ind w:firstLine="480" w:firstLineChars="200"/>
        <w:rPr>
          <w:rFonts w:hint="eastAsia"/>
          <w:sz w:val="24"/>
          <w:highlight w:val="none"/>
        </w:rPr>
      </w:pPr>
      <w:r>
        <w:rPr>
          <w:rFonts w:hint="eastAsia" w:ascii="宋体"/>
          <w:sz w:val="24"/>
          <w:highlight w:val="none"/>
        </w:rPr>
        <w:t>4.1</w:t>
      </w:r>
      <w:r>
        <w:rPr>
          <w:rFonts w:hint="eastAsia"/>
          <w:sz w:val="24"/>
          <w:highlight w:val="none"/>
        </w:rPr>
        <w:t>本项目采用综合评分法，评分因素是：价格、技术、方案等。</w:t>
      </w:r>
    </w:p>
    <w:p>
      <w:pPr>
        <w:pStyle w:val="41"/>
        <w:ind w:firstLine="480" w:firstLineChars="200"/>
        <w:jc w:val="both"/>
        <w:rPr>
          <w:rFonts w:hint="eastAsia"/>
          <w:highlight w:val="none"/>
        </w:rPr>
      </w:pPr>
      <w:r>
        <w:rPr>
          <w:rFonts w:hint="eastAsia"/>
          <w:highlight w:val="none"/>
        </w:rPr>
        <w:t>4.2 审查评定小组成员应当根据自身专业情况对每个有效比选供应商的比选</w:t>
      </w:r>
      <w:r>
        <w:rPr>
          <w:rFonts w:hint="eastAsia"/>
          <w:highlight w:val="none"/>
          <w:lang w:eastAsia="zh-CN"/>
        </w:rPr>
        <w:t>申请</w:t>
      </w:r>
      <w:r>
        <w:rPr>
          <w:rFonts w:hint="eastAsia"/>
          <w:highlight w:val="none"/>
        </w:rPr>
        <w:t>文件进行独立评分，加权汇总每项评分因素的得分，得出每个有效比选供应商的总分。技术类评分因素由技术方面评标委员会成员独立评分。经济类评分因素由经济方面评标委员会成员独立评分。政策合同类的评分因素由法律方面评标委员会成员独立评分。比选人代表原则上对技术类评分因素独立评分。价格和其他不能明确区分的评分因素由评标委员会成员共同评分。</w:t>
      </w:r>
    </w:p>
    <w:p>
      <w:pPr>
        <w:pStyle w:val="11"/>
        <w:tabs>
          <w:tab w:val="left" w:pos="600"/>
        </w:tabs>
        <w:spacing w:line="400" w:lineRule="exact"/>
        <w:ind w:firstLine="480" w:firstLineChars="200"/>
        <w:rPr>
          <w:rFonts w:hint="eastAsia" w:ascii="宋体"/>
          <w:sz w:val="24"/>
          <w:szCs w:val="24"/>
          <w:highlight w:val="none"/>
        </w:rPr>
      </w:pPr>
      <w:r>
        <w:rPr>
          <w:rFonts w:hint="eastAsia" w:ascii="宋体"/>
          <w:sz w:val="24"/>
          <w:szCs w:val="24"/>
          <w:highlight w:val="none"/>
        </w:rPr>
        <w:t>4.3综合评分明细表</w:t>
      </w:r>
    </w:p>
    <w:p>
      <w:pPr>
        <w:pStyle w:val="11"/>
        <w:tabs>
          <w:tab w:val="left" w:pos="600"/>
        </w:tabs>
        <w:spacing w:line="400" w:lineRule="exact"/>
        <w:ind w:firstLine="480" w:firstLineChars="200"/>
        <w:rPr>
          <w:rFonts w:hint="eastAsia" w:ascii="宋体"/>
          <w:sz w:val="24"/>
          <w:szCs w:val="24"/>
          <w:highlight w:val="none"/>
        </w:rPr>
      </w:pPr>
      <w:r>
        <w:rPr>
          <w:rFonts w:hint="eastAsia" w:ascii="宋体"/>
          <w:sz w:val="24"/>
          <w:szCs w:val="24"/>
          <w:highlight w:val="none"/>
        </w:rPr>
        <w:t>4.3.1综合评分明细表的制定以科学合理、降低评委会自由裁量权为原则。</w:t>
      </w:r>
    </w:p>
    <w:p>
      <w:pPr>
        <w:widowControl/>
        <w:ind w:firstLine="480" w:firstLineChars="200"/>
        <w:jc w:val="left"/>
        <w:rPr>
          <w:rFonts w:hint="eastAsia" w:ascii="宋体"/>
          <w:sz w:val="24"/>
          <w:highlight w:val="none"/>
        </w:rPr>
      </w:pPr>
      <w:r>
        <w:rPr>
          <w:rFonts w:hint="eastAsia" w:ascii="宋体"/>
          <w:sz w:val="24"/>
          <w:highlight w:val="none"/>
        </w:rPr>
        <w:t>4.3.2 综合评分明细表按须知表中的相关要求进行价格调整，再参与价格分评审。</w:t>
      </w:r>
    </w:p>
    <w:p>
      <w:pPr>
        <w:pStyle w:val="11"/>
        <w:tabs>
          <w:tab w:val="left" w:pos="600"/>
        </w:tabs>
        <w:spacing w:line="400" w:lineRule="exact"/>
        <w:ind w:firstLine="480" w:firstLineChars="200"/>
        <w:rPr>
          <w:rFonts w:hint="eastAsia" w:ascii="宋体"/>
          <w:color w:val="auto"/>
          <w:sz w:val="24"/>
          <w:szCs w:val="24"/>
          <w:highlight w:val="none"/>
        </w:rPr>
      </w:pPr>
      <w:r>
        <w:rPr>
          <w:rFonts w:hint="eastAsia" w:ascii="宋体"/>
          <w:color w:val="auto"/>
          <w:sz w:val="24"/>
          <w:szCs w:val="24"/>
          <w:highlight w:val="none"/>
        </w:rPr>
        <w:t>4.3.3综合评分明细表</w:t>
      </w:r>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985"/>
        <w:gridCol w:w="709"/>
        <w:gridCol w:w="4252"/>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62" w:type="dxa"/>
            <w:vAlign w:val="center"/>
          </w:tcPr>
          <w:p>
            <w:pPr>
              <w:spacing w:line="240" w:lineRule="atLeast"/>
              <w:jc w:val="center"/>
              <w:rPr>
                <w:rFonts w:cs="仿宋" w:asciiTheme="minorEastAsia" w:hAnsiTheme="minorEastAsia" w:eastAsiaTheme="minorEastAsia"/>
                <w:b/>
                <w:bCs/>
                <w:kern w:val="0"/>
                <w:sz w:val="24"/>
                <w:szCs w:val="24"/>
                <w:highlight w:val="none"/>
                <w:lang w:bidi="en-US"/>
              </w:rPr>
            </w:pPr>
            <w:r>
              <w:rPr>
                <w:rFonts w:hint="eastAsia" w:cs="仿宋" w:asciiTheme="minorEastAsia" w:hAnsiTheme="minorEastAsia" w:eastAsiaTheme="minorEastAsia"/>
                <w:b/>
                <w:bCs/>
                <w:kern w:val="0"/>
                <w:sz w:val="24"/>
                <w:szCs w:val="24"/>
                <w:highlight w:val="none"/>
                <w:lang w:bidi="en-US"/>
              </w:rPr>
              <w:t>序号</w:t>
            </w:r>
          </w:p>
        </w:tc>
        <w:tc>
          <w:tcPr>
            <w:tcW w:w="1985" w:type="dxa"/>
            <w:vAlign w:val="center"/>
          </w:tcPr>
          <w:p>
            <w:pPr>
              <w:spacing w:line="240" w:lineRule="atLeast"/>
              <w:jc w:val="center"/>
              <w:rPr>
                <w:rFonts w:cs="仿宋" w:asciiTheme="minorEastAsia" w:hAnsiTheme="minorEastAsia" w:eastAsiaTheme="minorEastAsia"/>
                <w:b/>
                <w:bCs/>
                <w:kern w:val="0"/>
                <w:sz w:val="24"/>
                <w:szCs w:val="24"/>
                <w:highlight w:val="none"/>
                <w:lang w:bidi="en-US"/>
              </w:rPr>
            </w:pPr>
            <w:r>
              <w:rPr>
                <w:rFonts w:hint="eastAsia" w:cs="仿宋" w:asciiTheme="minorEastAsia" w:hAnsiTheme="minorEastAsia" w:eastAsiaTheme="minorEastAsia"/>
                <w:b/>
                <w:bCs/>
                <w:kern w:val="0"/>
                <w:sz w:val="24"/>
                <w:szCs w:val="24"/>
                <w:highlight w:val="none"/>
                <w:lang w:bidi="en-US"/>
              </w:rPr>
              <w:t>评分因素及</w:t>
            </w:r>
          </w:p>
          <w:p>
            <w:pPr>
              <w:spacing w:line="240" w:lineRule="atLeast"/>
              <w:jc w:val="center"/>
              <w:rPr>
                <w:rFonts w:cs="仿宋" w:asciiTheme="minorEastAsia" w:hAnsiTheme="minorEastAsia" w:eastAsiaTheme="minorEastAsia"/>
                <w:b/>
                <w:bCs/>
                <w:kern w:val="0"/>
                <w:sz w:val="24"/>
                <w:szCs w:val="24"/>
                <w:highlight w:val="none"/>
                <w:lang w:bidi="en-US"/>
              </w:rPr>
            </w:pPr>
            <w:r>
              <w:rPr>
                <w:rFonts w:hint="eastAsia" w:cs="仿宋" w:asciiTheme="minorEastAsia" w:hAnsiTheme="minorEastAsia" w:eastAsiaTheme="minorEastAsia"/>
                <w:b/>
                <w:bCs/>
                <w:kern w:val="0"/>
                <w:sz w:val="24"/>
                <w:szCs w:val="24"/>
                <w:highlight w:val="none"/>
                <w:lang w:bidi="en-US"/>
              </w:rPr>
              <w:t>权重</w:t>
            </w:r>
          </w:p>
        </w:tc>
        <w:tc>
          <w:tcPr>
            <w:tcW w:w="709" w:type="dxa"/>
            <w:vAlign w:val="center"/>
          </w:tcPr>
          <w:p>
            <w:pPr>
              <w:spacing w:line="240" w:lineRule="atLeast"/>
              <w:jc w:val="center"/>
              <w:rPr>
                <w:rFonts w:cs="仿宋" w:asciiTheme="minorEastAsia" w:hAnsiTheme="minorEastAsia" w:eastAsiaTheme="minorEastAsia"/>
                <w:b/>
                <w:bCs/>
                <w:kern w:val="0"/>
                <w:sz w:val="24"/>
                <w:szCs w:val="24"/>
                <w:highlight w:val="none"/>
                <w:lang w:bidi="en-US"/>
              </w:rPr>
            </w:pPr>
            <w:r>
              <w:rPr>
                <w:rFonts w:hint="eastAsia" w:cs="仿宋" w:asciiTheme="minorEastAsia" w:hAnsiTheme="minorEastAsia" w:eastAsiaTheme="minorEastAsia"/>
                <w:b/>
                <w:bCs/>
                <w:kern w:val="0"/>
                <w:sz w:val="24"/>
                <w:szCs w:val="24"/>
                <w:highlight w:val="none"/>
                <w:lang w:bidi="en-US"/>
              </w:rPr>
              <w:t>分值</w:t>
            </w:r>
          </w:p>
        </w:tc>
        <w:tc>
          <w:tcPr>
            <w:tcW w:w="4252" w:type="dxa"/>
            <w:vAlign w:val="center"/>
          </w:tcPr>
          <w:p>
            <w:pPr>
              <w:spacing w:line="240" w:lineRule="atLeast"/>
              <w:jc w:val="center"/>
              <w:rPr>
                <w:rFonts w:cs="仿宋" w:asciiTheme="minorEastAsia" w:hAnsiTheme="minorEastAsia" w:eastAsiaTheme="minorEastAsia"/>
                <w:b/>
                <w:bCs/>
                <w:kern w:val="0"/>
                <w:sz w:val="24"/>
                <w:szCs w:val="24"/>
                <w:highlight w:val="none"/>
                <w:lang w:bidi="en-US"/>
              </w:rPr>
            </w:pPr>
            <w:r>
              <w:rPr>
                <w:rFonts w:hint="eastAsia" w:cs="仿宋" w:asciiTheme="minorEastAsia" w:hAnsiTheme="minorEastAsia" w:eastAsiaTheme="minorEastAsia"/>
                <w:b/>
                <w:bCs/>
                <w:kern w:val="0"/>
                <w:sz w:val="24"/>
                <w:szCs w:val="24"/>
                <w:highlight w:val="none"/>
                <w:lang w:bidi="en-US"/>
              </w:rPr>
              <w:t>评分标准</w:t>
            </w:r>
          </w:p>
        </w:tc>
        <w:tc>
          <w:tcPr>
            <w:tcW w:w="1563" w:type="dxa"/>
            <w:vAlign w:val="center"/>
          </w:tcPr>
          <w:p>
            <w:pPr>
              <w:spacing w:line="240" w:lineRule="atLeast"/>
              <w:jc w:val="center"/>
              <w:rPr>
                <w:rFonts w:cs="仿宋" w:asciiTheme="minorEastAsia" w:hAnsiTheme="minorEastAsia" w:eastAsiaTheme="minorEastAsia"/>
                <w:b/>
                <w:bCs/>
                <w:kern w:val="0"/>
                <w:sz w:val="24"/>
                <w:szCs w:val="24"/>
                <w:highlight w:val="none"/>
                <w:lang w:bidi="en-US"/>
              </w:rPr>
            </w:pPr>
            <w:r>
              <w:rPr>
                <w:rFonts w:hint="eastAsia" w:cs="仿宋" w:asciiTheme="minorEastAsia" w:hAnsiTheme="minorEastAsia" w:eastAsiaTheme="minorEastAsia"/>
                <w:b/>
                <w:bCs/>
                <w:kern w:val="0"/>
                <w:sz w:val="24"/>
                <w:szCs w:val="24"/>
                <w:highlight w:val="none"/>
                <w:lang w:bidi="en-US"/>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62" w:type="dxa"/>
            <w:vAlign w:val="center"/>
          </w:tcPr>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w:t>
            </w:r>
          </w:p>
        </w:tc>
        <w:tc>
          <w:tcPr>
            <w:tcW w:w="1985" w:type="dxa"/>
            <w:vAlign w:val="center"/>
          </w:tcPr>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报价10%</w:t>
            </w:r>
          </w:p>
        </w:tc>
        <w:tc>
          <w:tcPr>
            <w:tcW w:w="709" w:type="dxa"/>
            <w:vAlign w:val="center"/>
          </w:tcPr>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10分</w:t>
            </w:r>
          </w:p>
        </w:tc>
        <w:tc>
          <w:tcPr>
            <w:tcW w:w="4252" w:type="dxa"/>
            <w:vAlign w:val="center"/>
          </w:tcPr>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以本次最低有效比选报价为基准价，报价得分=( 基准价／比选报价)*10%*100</w:t>
            </w:r>
          </w:p>
        </w:tc>
        <w:tc>
          <w:tcPr>
            <w:tcW w:w="1563" w:type="dxa"/>
            <w:vAlign w:val="center"/>
          </w:tcPr>
          <w:p>
            <w:pPr>
              <w:spacing w:line="240" w:lineRule="atLeast"/>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62" w:type="dxa"/>
            <w:vAlign w:val="center"/>
          </w:tcPr>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w:t>
            </w:r>
          </w:p>
        </w:tc>
        <w:tc>
          <w:tcPr>
            <w:tcW w:w="1985" w:type="dxa"/>
            <w:vAlign w:val="center"/>
          </w:tcPr>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服务方案40%</w:t>
            </w:r>
          </w:p>
        </w:tc>
        <w:tc>
          <w:tcPr>
            <w:tcW w:w="709" w:type="dxa"/>
            <w:vAlign w:val="center"/>
          </w:tcPr>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40分</w:t>
            </w:r>
          </w:p>
        </w:tc>
        <w:tc>
          <w:tcPr>
            <w:tcW w:w="4252" w:type="dxa"/>
          </w:tcPr>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根据“第五章比选项目商务、服务及其他要求”中五项具体要求，提供本项目的服务方案，每提供一项内容且内容完整、合理、符合实际情况得6分；内容与本项目关联性不强、内容不完整、不符合实际需求得3分；未提供该内容的不得分。本项最多得30分。</w:t>
            </w:r>
          </w:p>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提供项目管理方案，包括项目组织管理、项目进度管理2项内容。每提供一项内容且内容完整、合理、符合实际情况得5分；内容与本项目关联性不强、内容不完整、不符合实际需求得2分；未提供该内容的不得分。本项最多得10分。</w:t>
            </w:r>
          </w:p>
        </w:tc>
        <w:tc>
          <w:tcPr>
            <w:tcW w:w="1563" w:type="dxa"/>
            <w:vAlign w:val="center"/>
          </w:tcPr>
          <w:p>
            <w:pPr>
              <w:spacing w:line="240" w:lineRule="atLeast"/>
              <w:rPr>
                <w:rFonts w:hint="eastAsia" w:ascii="宋体" w:hAnsi="宋体" w:eastAsia="宋体" w:cs="宋体"/>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562" w:type="dxa"/>
            <w:vAlign w:val="center"/>
          </w:tcPr>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w:t>
            </w:r>
          </w:p>
        </w:tc>
        <w:tc>
          <w:tcPr>
            <w:tcW w:w="1985" w:type="dxa"/>
            <w:vAlign w:val="center"/>
          </w:tcPr>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供应商实力12%</w:t>
            </w:r>
          </w:p>
        </w:tc>
        <w:tc>
          <w:tcPr>
            <w:tcW w:w="709" w:type="dxa"/>
            <w:vAlign w:val="center"/>
          </w:tcPr>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12分</w:t>
            </w:r>
          </w:p>
        </w:tc>
        <w:tc>
          <w:tcPr>
            <w:tcW w:w="4252" w:type="dxa"/>
            <w:vAlign w:val="center"/>
          </w:tcPr>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承担或参与标准</w:t>
            </w:r>
            <w:r>
              <w:rPr>
                <w:rFonts w:hint="eastAsia" w:ascii="宋体" w:hAnsi="宋体" w:cs="宋体"/>
                <w:kern w:val="0"/>
                <w:sz w:val="24"/>
                <w:szCs w:val="24"/>
                <w:highlight w:val="none"/>
                <w:lang w:val="en-US" w:eastAsia="zh-CN" w:bidi="ar-SA"/>
              </w:rPr>
              <w:t>化</w:t>
            </w:r>
            <w:r>
              <w:rPr>
                <w:rFonts w:hint="eastAsia" w:ascii="宋体" w:hAnsi="宋体" w:eastAsia="宋体" w:cs="宋体"/>
                <w:kern w:val="0"/>
                <w:sz w:val="24"/>
                <w:szCs w:val="24"/>
                <w:highlight w:val="none"/>
                <w:lang w:val="en-US" w:eastAsia="zh-CN" w:bidi="ar-SA"/>
              </w:rPr>
              <w:t>相关的科研课题项目，每有一项得3分，最高得12分，没有的不得分。</w:t>
            </w:r>
          </w:p>
        </w:tc>
        <w:tc>
          <w:tcPr>
            <w:tcW w:w="1563" w:type="dxa"/>
            <w:vAlign w:val="center"/>
          </w:tcPr>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须提供加盖公章的项目任务书。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62" w:type="dxa"/>
            <w:vAlign w:val="center"/>
          </w:tcPr>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w:t>
            </w:r>
          </w:p>
        </w:tc>
        <w:tc>
          <w:tcPr>
            <w:tcW w:w="1985" w:type="dxa"/>
            <w:vAlign w:val="center"/>
          </w:tcPr>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服务团队15%</w:t>
            </w:r>
          </w:p>
        </w:tc>
        <w:tc>
          <w:tcPr>
            <w:tcW w:w="709" w:type="dxa"/>
            <w:vAlign w:val="center"/>
          </w:tcPr>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15分</w:t>
            </w:r>
          </w:p>
        </w:tc>
        <w:tc>
          <w:tcPr>
            <w:tcW w:w="4252" w:type="dxa"/>
            <w:vAlign w:val="center"/>
          </w:tcPr>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1.项目经理（仅限 1 人）。拟派的项目经理具有正高级及以上职称且主导过省级以上标准编制的，得5 分；具有副高级职称且主导过省级以上标准编制的，得 3 分。本项最高 5 分。</w:t>
            </w:r>
          </w:p>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服务团队中具有硕士研究生学历、学位及以上的人员，每人得2分；具有标准化、信息化、公共管理学研究专业高级工程师职称及以上（须出具由人社部门颁发的专业职称证书）的人员，每人得2分；本项最高得10分，没有的不得分。</w:t>
            </w:r>
          </w:p>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（注：同一人员不重复得分。）</w:t>
            </w:r>
          </w:p>
        </w:tc>
        <w:tc>
          <w:tcPr>
            <w:tcW w:w="1563" w:type="dxa"/>
            <w:vAlign w:val="center"/>
          </w:tcPr>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1.须提供服务团队人员的毕业证、学位证、职称证书复印件加盖公章。</w:t>
            </w:r>
          </w:p>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2.须提供服务团队人员近3个月社保缴纳证明加盖公章。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w:t>
            </w:r>
          </w:p>
        </w:tc>
        <w:tc>
          <w:tcPr>
            <w:tcW w:w="1985" w:type="dxa"/>
            <w:vAlign w:val="center"/>
          </w:tcPr>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供应商业绩2</w:t>
            </w:r>
            <w:r>
              <w:rPr>
                <w:rFonts w:hint="eastAsia" w:ascii="宋体" w:hAnsi="宋体" w:cs="宋体"/>
                <w:kern w:val="0"/>
                <w:sz w:val="24"/>
                <w:szCs w:val="24"/>
                <w:highlight w:val="none"/>
                <w:lang w:val="en-US" w:eastAsia="zh-CN" w:bidi="ar-SA"/>
              </w:rPr>
              <w:t>3</w:t>
            </w:r>
            <w:r>
              <w:rPr>
                <w:rFonts w:hint="eastAsia" w:ascii="宋体" w:hAnsi="宋体" w:eastAsia="宋体" w:cs="宋体"/>
                <w:kern w:val="0"/>
                <w:sz w:val="24"/>
                <w:szCs w:val="24"/>
                <w:highlight w:val="none"/>
                <w:lang w:val="en-US" w:eastAsia="zh-CN" w:bidi="ar-SA"/>
              </w:rPr>
              <w:t>%</w:t>
            </w:r>
          </w:p>
        </w:tc>
        <w:tc>
          <w:tcPr>
            <w:tcW w:w="709" w:type="dxa"/>
            <w:vAlign w:val="center"/>
          </w:tcPr>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w:t>
            </w:r>
            <w:r>
              <w:rPr>
                <w:rFonts w:hint="eastAsia" w:ascii="宋体" w:hAnsi="宋体" w:cs="宋体"/>
                <w:kern w:val="0"/>
                <w:sz w:val="24"/>
                <w:szCs w:val="24"/>
                <w:highlight w:val="none"/>
                <w:lang w:val="en-US" w:eastAsia="zh-CN" w:bidi="ar-SA"/>
              </w:rPr>
              <w:t>3</w:t>
            </w:r>
            <w:r>
              <w:rPr>
                <w:rFonts w:hint="eastAsia" w:ascii="宋体" w:hAnsi="宋体" w:eastAsia="宋体" w:cs="宋体"/>
                <w:kern w:val="0"/>
                <w:sz w:val="24"/>
                <w:szCs w:val="24"/>
                <w:highlight w:val="none"/>
                <w:lang w:val="en-US" w:eastAsia="zh-CN" w:bidi="ar-SA"/>
              </w:rPr>
              <w:t>分</w:t>
            </w:r>
          </w:p>
        </w:tc>
        <w:tc>
          <w:tcPr>
            <w:tcW w:w="4252" w:type="dxa"/>
            <w:vAlign w:val="center"/>
          </w:tcPr>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1.作为第一起草单位主导国家、行业标准编制的每项得4分；参与国家、行业标准编制的每项得2分；最高得1</w:t>
            </w:r>
            <w:r>
              <w:rPr>
                <w:rFonts w:hint="eastAsia" w:ascii="宋体" w:hAnsi="宋体" w:cs="宋体"/>
                <w:kern w:val="0"/>
                <w:sz w:val="24"/>
                <w:szCs w:val="24"/>
                <w:highlight w:val="none"/>
                <w:lang w:val="en-US" w:eastAsia="zh-CN" w:bidi="ar-SA"/>
              </w:rPr>
              <w:t>4</w:t>
            </w:r>
            <w:r>
              <w:rPr>
                <w:rFonts w:hint="eastAsia" w:ascii="宋体" w:hAnsi="宋体" w:eastAsia="宋体" w:cs="宋体"/>
                <w:kern w:val="0"/>
                <w:sz w:val="24"/>
                <w:szCs w:val="24"/>
                <w:highlight w:val="none"/>
                <w:lang w:val="en-US" w:eastAsia="zh-CN" w:bidi="ar-SA"/>
              </w:rPr>
              <w:t>分，没有的不得分。</w:t>
            </w:r>
          </w:p>
          <w:p>
            <w:pPr>
              <w:spacing w:line="240" w:lineRule="atLeas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2.作为第一起草单位主导省级地方标准编制的每项得3分；参与省级地方标准编制的每项得1分；最高得9分，没有的不得分。</w:t>
            </w:r>
          </w:p>
        </w:tc>
        <w:tc>
          <w:tcPr>
            <w:tcW w:w="1563" w:type="dxa"/>
            <w:vAlign w:val="center"/>
          </w:tcPr>
          <w:p>
            <w:pPr>
              <w:spacing w:line="240" w:lineRule="atLeast"/>
              <w:rPr>
                <w:rFonts w:hint="eastAsia" w:ascii="宋体" w:hAnsi="宋体" w:eastAsia="宋体" w:cs="宋体"/>
                <w:kern w:val="0"/>
                <w:sz w:val="24"/>
                <w:szCs w:val="24"/>
                <w:highlight w:val="none"/>
                <w:lang w:val="en-US" w:eastAsia="zh-CN" w:bidi="ar-SA"/>
              </w:rPr>
            </w:pPr>
            <w:bookmarkStart w:id="147" w:name="_Hlk81666783"/>
            <w:r>
              <w:rPr>
                <w:rFonts w:hint="eastAsia" w:ascii="宋体" w:hAnsi="宋体" w:eastAsia="宋体" w:cs="宋体"/>
                <w:kern w:val="0"/>
                <w:sz w:val="24"/>
                <w:szCs w:val="24"/>
                <w:highlight w:val="none"/>
                <w:lang w:val="en-US" w:eastAsia="zh-CN" w:bidi="ar-SA"/>
              </w:rPr>
              <w:t>标准以正式发布为准，须提供标准的封面页、前言页、目录页和前三页正文的复印件加盖公章</w:t>
            </w:r>
            <w:bookmarkEnd w:id="147"/>
            <w:r>
              <w:rPr>
                <w:rFonts w:hint="eastAsia" w:ascii="宋体" w:hAnsi="宋体" w:eastAsia="宋体" w:cs="宋体"/>
                <w:kern w:val="0"/>
                <w:sz w:val="24"/>
                <w:szCs w:val="24"/>
                <w:highlight w:val="none"/>
                <w:lang w:val="en-US" w:eastAsia="zh-CN" w:bidi="ar-SA"/>
              </w:rPr>
              <w:t>。</w:t>
            </w:r>
          </w:p>
        </w:tc>
      </w:tr>
    </w:tbl>
    <w:p>
      <w:pPr>
        <w:pStyle w:val="11"/>
        <w:tabs>
          <w:tab w:val="left" w:pos="600"/>
        </w:tabs>
        <w:spacing w:line="400" w:lineRule="exact"/>
        <w:ind w:left="0" w:leftChars="0" w:firstLine="0" w:firstLineChars="0"/>
        <w:rPr>
          <w:rFonts w:hint="eastAsia" w:ascii="宋体"/>
          <w:sz w:val="24"/>
          <w:szCs w:val="24"/>
          <w:highlight w:val="none"/>
        </w:rPr>
      </w:pPr>
    </w:p>
    <w:p>
      <w:pPr>
        <w:rPr>
          <w:rFonts w:hint="eastAsia"/>
          <w:szCs w:val="21"/>
          <w:highlight w:val="none"/>
        </w:rPr>
      </w:pPr>
      <w:bookmarkStart w:id="148" w:name="_Toc217446059"/>
      <w:r>
        <w:rPr>
          <w:rFonts w:hint="eastAsia" w:ascii="宋体" w:hAnsi="宋体"/>
          <w:b/>
          <w:bCs/>
          <w:szCs w:val="21"/>
          <w:highlight w:val="none"/>
        </w:rPr>
        <w:t>注：采购方保留在标后对全部证明文件的原件真伪再次进行鉴别的权利以便于进一步核实供应商是否存在虚假应标的情况。</w:t>
      </w:r>
    </w:p>
    <w:p>
      <w:pPr>
        <w:pStyle w:val="9"/>
        <w:ind w:firstLine="420" w:firstLineChars="175"/>
        <w:rPr>
          <w:rFonts w:hint="eastAsia" w:ascii="宋体"/>
          <w:sz w:val="24"/>
          <w:highlight w:val="none"/>
        </w:rPr>
      </w:pPr>
    </w:p>
    <w:bookmarkEnd w:id="148"/>
    <w:p>
      <w:pPr>
        <w:pStyle w:val="5"/>
        <w:spacing w:line="400" w:lineRule="exact"/>
        <w:ind w:firstLine="472" w:firstLineChars="196"/>
        <w:rPr>
          <w:rFonts w:hint="eastAsia" w:ascii="黑体"/>
          <w:sz w:val="24"/>
          <w:szCs w:val="24"/>
          <w:highlight w:val="none"/>
        </w:rPr>
      </w:pPr>
      <w:bookmarkStart w:id="149" w:name="_Toc217446060"/>
      <w:r>
        <w:rPr>
          <w:rFonts w:hint="eastAsia" w:ascii="黑体"/>
          <w:sz w:val="24"/>
          <w:szCs w:val="24"/>
          <w:highlight w:val="none"/>
        </w:rPr>
        <w:t>5、 二次比选</w:t>
      </w:r>
    </w:p>
    <w:p>
      <w:pPr>
        <w:spacing w:line="400" w:lineRule="exact"/>
        <w:ind w:firstLine="480" w:firstLineChars="200"/>
        <w:rPr>
          <w:rFonts w:hint="eastAsia" w:ascii="宋体"/>
          <w:sz w:val="24"/>
          <w:highlight w:val="none"/>
        </w:rPr>
      </w:pPr>
      <w:r>
        <w:rPr>
          <w:rFonts w:hint="eastAsia" w:ascii="宋体"/>
          <w:sz w:val="24"/>
          <w:highlight w:val="none"/>
        </w:rPr>
        <w:t>5.1本次比选活动中，出现下列情形之一的，予以二次比选：</w:t>
      </w:r>
    </w:p>
    <w:p>
      <w:pPr>
        <w:spacing w:line="400" w:lineRule="exact"/>
        <w:ind w:firstLine="480" w:firstLineChars="200"/>
        <w:rPr>
          <w:rFonts w:hint="eastAsia" w:ascii="宋体"/>
          <w:sz w:val="24"/>
          <w:highlight w:val="none"/>
        </w:rPr>
      </w:pPr>
      <w:r>
        <w:rPr>
          <w:rFonts w:hint="eastAsia" w:ascii="宋体"/>
          <w:sz w:val="24"/>
          <w:highlight w:val="none"/>
        </w:rPr>
        <w:t>（1）符合专业条件的供应商或者对比选文件作实质响应的供应商不足三家的；</w:t>
      </w:r>
    </w:p>
    <w:p>
      <w:pPr>
        <w:spacing w:line="400" w:lineRule="exact"/>
        <w:ind w:firstLine="480" w:firstLineChars="200"/>
        <w:rPr>
          <w:rFonts w:hint="eastAsia" w:ascii="宋体"/>
          <w:sz w:val="24"/>
          <w:highlight w:val="none"/>
        </w:rPr>
      </w:pPr>
      <w:r>
        <w:rPr>
          <w:rFonts w:hint="eastAsia" w:ascii="宋体"/>
          <w:sz w:val="24"/>
          <w:highlight w:val="none"/>
        </w:rPr>
        <w:t>（2）出现影响采购公正的违法、违规行为的；</w:t>
      </w:r>
    </w:p>
    <w:p>
      <w:pPr>
        <w:spacing w:line="400" w:lineRule="exact"/>
        <w:ind w:firstLine="480" w:firstLineChars="200"/>
        <w:rPr>
          <w:rFonts w:hint="eastAsia" w:ascii="宋体"/>
          <w:sz w:val="24"/>
          <w:highlight w:val="none"/>
        </w:rPr>
      </w:pPr>
      <w:r>
        <w:rPr>
          <w:rFonts w:hint="eastAsia" w:ascii="宋体"/>
          <w:sz w:val="24"/>
          <w:highlight w:val="none"/>
        </w:rPr>
        <w:t>（3）供应商的报价均超过了采购预算，比选人不能支付的；</w:t>
      </w:r>
    </w:p>
    <w:p>
      <w:pPr>
        <w:spacing w:line="400" w:lineRule="exact"/>
        <w:ind w:firstLine="480" w:firstLineChars="200"/>
        <w:rPr>
          <w:rFonts w:hint="eastAsia" w:ascii="宋体"/>
          <w:sz w:val="24"/>
          <w:highlight w:val="none"/>
        </w:rPr>
      </w:pPr>
      <w:r>
        <w:rPr>
          <w:rFonts w:hint="eastAsia" w:ascii="宋体"/>
          <w:sz w:val="24"/>
          <w:highlight w:val="none"/>
        </w:rPr>
        <w:t>（4）因重大变故，采购任务取消的。</w:t>
      </w:r>
    </w:p>
    <w:p>
      <w:pPr>
        <w:spacing w:line="400" w:lineRule="exact"/>
        <w:ind w:firstLine="480" w:firstLineChars="200"/>
        <w:rPr>
          <w:rFonts w:hint="eastAsia" w:ascii="宋体"/>
          <w:sz w:val="24"/>
          <w:highlight w:val="none"/>
        </w:rPr>
      </w:pPr>
      <w:r>
        <w:rPr>
          <w:rFonts w:hint="eastAsia" w:ascii="宋体"/>
          <w:sz w:val="24"/>
          <w:highlight w:val="none"/>
        </w:rPr>
        <w:t>二次比选时，比选人在</w:t>
      </w:r>
      <w:r>
        <w:rPr>
          <w:rFonts w:hint="eastAsia" w:ascii="宋体"/>
          <w:sz w:val="24"/>
          <w:highlight w:val="none"/>
          <w:lang w:eastAsia="zh-CN"/>
        </w:rPr>
        <w:t>四川省文物局网站</w:t>
      </w:r>
      <w:r>
        <w:rPr>
          <w:rFonts w:hint="eastAsia" w:ascii="宋体" w:hAnsi="宋体" w:cs="宋体"/>
          <w:spacing w:val="8"/>
          <w:sz w:val="24"/>
          <w:highlight w:val="none"/>
        </w:rPr>
        <w:t>http://wwj.sc.gov.cn/</w:t>
      </w:r>
      <w:r>
        <w:rPr>
          <w:rFonts w:hint="eastAsia" w:ascii="宋体"/>
          <w:sz w:val="24"/>
          <w:highlight w:val="none"/>
        </w:rPr>
        <w:t>网上公告，并公告上次比选结果。供应商需要知晓导致二次比选情形的具体原因和理由的，可以通过书面形式询问比选采购单位。</w:t>
      </w:r>
    </w:p>
    <w:p>
      <w:pPr>
        <w:spacing w:line="400" w:lineRule="exact"/>
        <w:ind w:firstLine="480" w:firstLineChars="200"/>
        <w:rPr>
          <w:rFonts w:hint="eastAsia" w:ascii="宋体"/>
          <w:sz w:val="24"/>
          <w:highlight w:val="none"/>
        </w:rPr>
      </w:pPr>
      <w:r>
        <w:rPr>
          <w:rFonts w:hint="eastAsia" w:ascii="宋体"/>
          <w:sz w:val="24"/>
          <w:highlight w:val="none"/>
        </w:rPr>
        <w:t>5.2对于比选过程中二次比选的采购项目，审查评定小组应当对比选文件是否存在倾向性和歧视性、是否存在不合理条款进行论证，并出具书面论证意见。</w:t>
      </w:r>
    </w:p>
    <w:p>
      <w:pPr>
        <w:pStyle w:val="5"/>
        <w:spacing w:line="400" w:lineRule="exact"/>
        <w:ind w:firstLine="472" w:firstLineChars="196"/>
        <w:rPr>
          <w:rFonts w:hint="eastAsia" w:ascii="黑体"/>
          <w:sz w:val="24"/>
          <w:szCs w:val="24"/>
          <w:highlight w:val="none"/>
        </w:rPr>
      </w:pPr>
      <w:r>
        <w:rPr>
          <w:rFonts w:hint="eastAsia" w:ascii="黑体"/>
          <w:sz w:val="24"/>
          <w:szCs w:val="24"/>
          <w:highlight w:val="none"/>
        </w:rPr>
        <w:t>6、定标</w:t>
      </w:r>
      <w:bookmarkEnd w:id="149"/>
      <w:bookmarkStart w:id="150" w:name="_Toc217446061"/>
    </w:p>
    <w:p>
      <w:pPr>
        <w:spacing w:line="400" w:lineRule="exact"/>
        <w:ind w:firstLine="480" w:firstLineChars="200"/>
        <w:rPr>
          <w:rFonts w:hint="eastAsia" w:ascii="宋体"/>
          <w:sz w:val="24"/>
          <w:highlight w:val="none"/>
        </w:rPr>
      </w:pPr>
      <w:r>
        <w:rPr>
          <w:rFonts w:hint="eastAsia" w:ascii="宋体"/>
          <w:sz w:val="24"/>
          <w:highlight w:val="none"/>
        </w:rPr>
        <w:t>6.1. 定标原则</w:t>
      </w:r>
      <w:bookmarkEnd w:id="150"/>
      <w:r>
        <w:rPr>
          <w:rFonts w:hint="eastAsia" w:ascii="宋体"/>
          <w:sz w:val="24"/>
          <w:highlight w:val="none"/>
        </w:rPr>
        <w:t>：本项目根据评标委员会推荐的中标候选供应商名单，按顺序确定中标供应商。</w:t>
      </w:r>
    </w:p>
    <w:p>
      <w:pPr>
        <w:spacing w:line="400" w:lineRule="exact"/>
        <w:ind w:firstLine="480" w:firstLineChars="200"/>
        <w:rPr>
          <w:rFonts w:hint="eastAsia" w:ascii="宋体"/>
          <w:sz w:val="24"/>
          <w:highlight w:val="none"/>
        </w:rPr>
      </w:pPr>
      <w:bookmarkStart w:id="151" w:name="_Toc217446062"/>
      <w:r>
        <w:rPr>
          <w:rFonts w:hint="eastAsia" w:ascii="宋体"/>
          <w:sz w:val="24"/>
          <w:highlight w:val="none"/>
        </w:rPr>
        <w:t>6.2. 定标程序</w:t>
      </w:r>
      <w:bookmarkEnd w:id="151"/>
    </w:p>
    <w:p>
      <w:pPr>
        <w:spacing w:line="400" w:lineRule="exact"/>
        <w:ind w:firstLine="480" w:firstLineChars="200"/>
        <w:rPr>
          <w:rFonts w:hint="eastAsia" w:ascii="宋体"/>
          <w:sz w:val="24"/>
          <w:highlight w:val="none"/>
        </w:rPr>
      </w:pPr>
      <w:r>
        <w:rPr>
          <w:rFonts w:hint="eastAsia" w:ascii="宋体"/>
          <w:sz w:val="24"/>
          <w:highlight w:val="none"/>
        </w:rPr>
        <w:t>6.2.1 评标委员会将评标情况写出书面报告，推荐中标候选供应商。</w:t>
      </w:r>
    </w:p>
    <w:p>
      <w:pPr>
        <w:spacing w:line="400" w:lineRule="exact"/>
        <w:ind w:firstLine="480" w:firstLineChars="200"/>
        <w:rPr>
          <w:rFonts w:hint="eastAsia" w:ascii="宋体"/>
          <w:sz w:val="24"/>
          <w:highlight w:val="none"/>
        </w:rPr>
      </w:pPr>
      <w:r>
        <w:rPr>
          <w:rFonts w:hint="eastAsia" w:ascii="宋体"/>
          <w:sz w:val="24"/>
          <w:highlight w:val="none"/>
        </w:rPr>
        <w:t>6.2.2 比选人按照比选报告中推荐的中标候选供应商顺序确定中标供应商。采用最低评标价法的，评标结果按比选报价由低到高顺序排列；比选报价相同的并列，比选</w:t>
      </w:r>
      <w:r>
        <w:rPr>
          <w:rFonts w:hint="eastAsia" w:ascii="宋体"/>
          <w:sz w:val="24"/>
          <w:highlight w:val="none"/>
          <w:lang w:eastAsia="zh-CN"/>
        </w:rPr>
        <w:t>申请</w:t>
      </w:r>
      <w:r>
        <w:rPr>
          <w:rFonts w:hint="eastAsia" w:ascii="宋体"/>
          <w:sz w:val="24"/>
          <w:highlight w:val="none"/>
        </w:rPr>
        <w:t>文件满足比选文件全部实质性要求且比选报价最低的供应商为中标候选供应商；报价相同且满足比选文件全部实质性要求的并列，由比选人自主采取公平、择优的方式选择中标供应商。采用综合评分法的，按评审后得分由高到低顺序排列。得分相同的，按比选报价由低到高顺序排列。得分且比选报价相同的，按技术指标优劣顺序排列；报价相同且满足比选文件全部实质性要求且按照技术指标得分也相同的并列，由比选人自主采取公平、择优的方式选择中标供应商。</w:t>
      </w:r>
    </w:p>
    <w:p>
      <w:pPr>
        <w:spacing w:line="400" w:lineRule="exact"/>
        <w:ind w:firstLine="481" w:firstLineChars="200"/>
        <w:rPr>
          <w:rFonts w:hint="eastAsia" w:ascii="宋体"/>
          <w:b/>
          <w:sz w:val="24"/>
          <w:highlight w:val="none"/>
        </w:rPr>
      </w:pPr>
      <w:r>
        <w:rPr>
          <w:rFonts w:hint="eastAsia" w:ascii="宋体"/>
          <w:b/>
          <w:sz w:val="24"/>
          <w:highlight w:val="none"/>
        </w:rPr>
        <w:t>注意，比选人按照推荐的中标候选供应商顺序确定中标供应商，不能认为比选人只能确定第一中标候选供应商为中标供应商，比选人有正当理由的，可以确定后一顺序中标候选供应商为中标供应商，依次类推。</w:t>
      </w:r>
    </w:p>
    <w:p>
      <w:pPr>
        <w:spacing w:line="400" w:lineRule="exact"/>
        <w:ind w:firstLine="480" w:firstLineChars="200"/>
        <w:rPr>
          <w:rFonts w:hint="eastAsia" w:ascii="宋体"/>
          <w:sz w:val="24"/>
          <w:highlight w:val="none"/>
        </w:rPr>
      </w:pPr>
      <w:r>
        <w:rPr>
          <w:rFonts w:hint="eastAsia" w:ascii="宋体"/>
          <w:sz w:val="24"/>
          <w:highlight w:val="none"/>
        </w:rPr>
        <w:t>6.2.3 根据比选人确定的中标供应商，比选人在四川省文物局网站</w:t>
      </w:r>
      <w:r>
        <w:rPr>
          <w:rFonts w:hint="eastAsia" w:ascii="宋体" w:hAnsi="宋体" w:cs="宋体"/>
          <w:spacing w:val="8"/>
          <w:sz w:val="24"/>
          <w:highlight w:val="none"/>
        </w:rPr>
        <w:t>http://wwj.sc.gov.cn/</w:t>
      </w:r>
      <w:r>
        <w:rPr>
          <w:rFonts w:hint="eastAsia" w:ascii="宋体"/>
          <w:sz w:val="24"/>
          <w:highlight w:val="none"/>
        </w:rPr>
        <w:t>网上发布比选结果公告。</w:t>
      </w:r>
    </w:p>
    <w:p>
      <w:pPr>
        <w:spacing w:line="400" w:lineRule="exact"/>
        <w:ind w:firstLine="480" w:firstLineChars="200"/>
        <w:rPr>
          <w:rFonts w:hint="eastAsia" w:ascii="宋体"/>
          <w:sz w:val="24"/>
          <w:highlight w:val="none"/>
        </w:rPr>
      </w:pPr>
      <w:r>
        <w:rPr>
          <w:rFonts w:hint="eastAsia" w:ascii="宋体"/>
          <w:sz w:val="24"/>
          <w:highlight w:val="none"/>
        </w:rPr>
        <w:t>6.2.4 比选采购单位不退回供应商比选</w:t>
      </w:r>
      <w:r>
        <w:rPr>
          <w:rFonts w:hint="eastAsia" w:ascii="宋体"/>
          <w:sz w:val="24"/>
          <w:highlight w:val="none"/>
          <w:lang w:eastAsia="zh-CN"/>
        </w:rPr>
        <w:t>申请</w:t>
      </w:r>
      <w:r>
        <w:rPr>
          <w:rFonts w:hint="eastAsia" w:ascii="宋体"/>
          <w:sz w:val="24"/>
          <w:highlight w:val="none"/>
        </w:rPr>
        <w:t>文件和其他比选资料。</w:t>
      </w:r>
    </w:p>
    <w:bookmarkEnd w:id="146"/>
    <w:p>
      <w:pPr>
        <w:pStyle w:val="5"/>
        <w:spacing w:line="400" w:lineRule="exact"/>
        <w:ind w:firstLine="481" w:firstLineChars="200"/>
        <w:rPr>
          <w:rFonts w:hint="eastAsia" w:ascii="黑体"/>
          <w:bCs w:val="0"/>
          <w:sz w:val="24"/>
          <w:szCs w:val="24"/>
          <w:highlight w:val="none"/>
        </w:rPr>
      </w:pPr>
      <w:bookmarkStart w:id="152" w:name="_Toc183682432"/>
      <w:bookmarkStart w:id="153" w:name="_Toc217446105"/>
      <w:bookmarkStart w:id="154" w:name="_Toc208849022"/>
      <w:bookmarkStart w:id="155" w:name="_Toc183582297"/>
      <w:r>
        <w:rPr>
          <w:rFonts w:hint="eastAsia" w:ascii="黑体"/>
          <w:bCs w:val="0"/>
          <w:sz w:val="24"/>
          <w:szCs w:val="24"/>
          <w:highlight w:val="none"/>
        </w:rPr>
        <w:t xml:space="preserve">7. </w:t>
      </w:r>
      <w:bookmarkEnd w:id="152"/>
      <w:bookmarkEnd w:id="153"/>
      <w:bookmarkEnd w:id="154"/>
      <w:bookmarkEnd w:id="155"/>
      <w:r>
        <w:rPr>
          <w:rFonts w:hint="eastAsia" w:ascii="黑体"/>
          <w:bCs w:val="0"/>
          <w:sz w:val="24"/>
          <w:szCs w:val="24"/>
          <w:highlight w:val="none"/>
        </w:rPr>
        <w:t>评审</w:t>
      </w:r>
      <w:r>
        <w:rPr>
          <w:rFonts w:hint="eastAsia" w:ascii="黑体"/>
          <w:sz w:val="24"/>
          <w:szCs w:val="24"/>
          <w:highlight w:val="none"/>
        </w:rPr>
        <w:t>专家在</w:t>
      </w:r>
      <w:r>
        <w:rPr>
          <w:rFonts w:hint="eastAsia" w:ascii="黑体"/>
          <w:sz w:val="24"/>
          <w:highlight w:val="none"/>
        </w:rPr>
        <w:t>政府采购活动</w:t>
      </w:r>
      <w:r>
        <w:rPr>
          <w:rFonts w:hint="eastAsia" w:ascii="黑体"/>
          <w:sz w:val="24"/>
          <w:szCs w:val="24"/>
          <w:highlight w:val="none"/>
        </w:rPr>
        <w:t>中承担以下义务：</w:t>
      </w:r>
    </w:p>
    <w:p>
      <w:pPr>
        <w:spacing w:line="400" w:lineRule="exact"/>
        <w:ind w:firstLine="480" w:firstLineChars="200"/>
        <w:rPr>
          <w:rFonts w:hint="eastAsia" w:ascii="宋体"/>
          <w:sz w:val="24"/>
          <w:highlight w:val="none"/>
        </w:rPr>
      </w:pPr>
      <w:r>
        <w:rPr>
          <w:rFonts w:hint="eastAsia" w:ascii="宋体"/>
          <w:sz w:val="24"/>
          <w:highlight w:val="none"/>
        </w:rPr>
        <w:t xml:space="preserve">（一）遵守评审工作纪律； </w:t>
      </w:r>
    </w:p>
    <w:p>
      <w:pPr>
        <w:spacing w:line="400" w:lineRule="exact"/>
        <w:ind w:firstLine="480" w:firstLineChars="200"/>
        <w:rPr>
          <w:rFonts w:hint="eastAsia" w:ascii="宋体"/>
          <w:sz w:val="24"/>
          <w:highlight w:val="none"/>
        </w:rPr>
      </w:pPr>
      <w:r>
        <w:rPr>
          <w:rFonts w:hint="eastAsia" w:ascii="宋体"/>
          <w:sz w:val="24"/>
          <w:highlight w:val="none"/>
        </w:rPr>
        <w:t>（二）按照客观、公正、审慎的原则，根据采购文件规定的评审程序、评审方法和评审标准进行独立评审；</w:t>
      </w:r>
    </w:p>
    <w:p>
      <w:pPr>
        <w:spacing w:line="400" w:lineRule="exact"/>
        <w:ind w:firstLine="480" w:firstLineChars="200"/>
        <w:rPr>
          <w:rFonts w:hint="eastAsia" w:ascii="宋体"/>
          <w:sz w:val="24"/>
          <w:highlight w:val="none"/>
        </w:rPr>
      </w:pPr>
      <w:r>
        <w:rPr>
          <w:rFonts w:hint="eastAsia" w:ascii="宋体"/>
          <w:sz w:val="24"/>
          <w:highlight w:val="none"/>
        </w:rPr>
        <w:t>（三）不得泄露评审文件、评审情况和在评审过程中获悉的商业秘密；</w:t>
      </w:r>
    </w:p>
    <w:p>
      <w:pPr>
        <w:spacing w:line="400" w:lineRule="exact"/>
        <w:ind w:firstLine="480" w:firstLineChars="200"/>
        <w:rPr>
          <w:rFonts w:hint="eastAsia" w:ascii="宋体"/>
          <w:sz w:val="24"/>
          <w:highlight w:val="none"/>
        </w:rPr>
      </w:pPr>
      <w:r>
        <w:rPr>
          <w:rFonts w:hint="eastAsia" w:ascii="宋体"/>
          <w:sz w:val="24"/>
          <w:highlight w:val="none"/>
        </w:rPr>
        <w:t>（四）及时向监督部门报告评审过程中采购组织单位向评审专家做倾向性、误导性的解释或者说明，供应商行贿、提供虚假材料或者串通、受到的非法干预情况等违法违规行为；</w:t>
      </w:r>
    </w:p>
    <w:p>
      <w:pPr>
        <w:spacing w:line="400" w:lineRule="exact"/>
        <w:ind w:firstLine="480" w:firstLineChars="200"/>
        <w:rPr>
          <w:rFonts w:hint="eastAsia" w:ascii="宋体"/>
          <w:sz w:val="24"/>
          <w:highlight w:val="none"/>
        </w:rPr>
      </w:pPr>
      <w:r>
        <w:rPr>
          <w:rFonts w:hint="eastAsia" w:ascii="宋体"/>
          <w:sz w:val="24"/>
          <w:highlight w:val="none"/>
        </w:rPr>
        <w:t>（五）发现采购文件内容违反国家有关强制性规定或者存在歧义、重大缺陷导致评审工作无法进行时，停止评审并向采购组织单位书面说明情况；</w:t>
      </w:r>
    </w:p>
    <w:p>
      <w:pPr>
        <w:spacing w:line="400" w:lineRule="exact"/>
        <w:ind w:firstLine="480" w:firstLineChars="200"/>
        <w:rPr>
          <w:rFonts w:hint="eastAsia" w:ascii="宋体"/>
          <w:sz w:val="24"/>
          <w:highlight w:val="none"/>
        </w:rPr>
      </w:pPr>
      <w:r>
        <w:rPr>
          <w:rFonts w:hint="eastAsia" w:ascii="宋体"/>
          <w:sz w:val="24"/>
          <w:highlight w:val="none"/>
        </w:rPr>
        <w:t>（六）配合答复处理供应商的询问、质疑和投诉等事项；</w:t>
      </w:r>
    </w:p>
    <w:p>
      <w:pPr>
        <w:spacing w:line="400" w:lineRule="exact"/>
        <w:ind w:firstLine="480" w:firstLineChars="200"/>
        <w:rPr>
          <w:rFonts w:hint="eastAsia" w:ascii="宋体"/>
          <w:sz w:val="24"/>
          <w:highlight w:val="none"/>
        </w:rPr>
      </w:pPr>
      <w:r>
        <w:rPr>
          <w:rFonts w:hint="eastAsia" w:ascii="宋体"/>
          <w:sz w:val="24"/>
          <w:highlight w:val="none"/>
        </w:rPr>
        <w:t>（七）法律、法规和规章规定的其他义务。</w:t>
      </w:r>
    </w:p>
    <w:p>
      <w:pPr>
        <w:pStyle w:val="5"/>
        <w:spacing w:line="400" w:lineRule="exact"/>
        <w:ind w:firstLine="481" w:firstLineChars="200"/>
        <w:rPr>
          <w:rFonts w:hint="eastAsia" w:ascii="黑体"/>
          <w:bCs w:val="0"/>
          <w:sz w:val="24"/>
          <w:szCs w:val="24"/>
          <w:highlight w:val="none"/>
        </w:rPr>
      </w:pPr>
      <w:r>
        <w:rPr>
          <w:rFonts w:hint="eastAsia" w:ascii="黑体"/>
          <w:bCs w:val="0"/>
          <w:sz w:val="24"/>
          <w:szCs w:val="24"/>
          <w:highlight w:val="none"/>
        </w:rPr>
        <w:t>8.评审专家在政府采购活动中应当遵守以下工作纪律：</w:t>
      </w:r>
    </w:p>
    <w:p>
      <w:pPr>
        <w:spacing w:line="400" w:lineRule="exact"/>
        <w:ind w:firstLine="480" w:firstLineChars="200"/>
        <w:rPr>
          <w:rFonts w:hint="eastAsia" w:ascii="宋体"/>
          <w:sz w:val="24"/>
          <w:highlight w:val="none"/>
        </w:rPr>
      </w:pPr>
      <w:r>
        <w:rPr>
          <w:rFonts w:hint="eastAsia" w:ascii="宋体"/>
          <w:sz w:val="24"/>
          <w:highlight w:val="none"/>
        </w:rPr>
        <w:t>（一）遵行《政府采购法》第十二条和《政府采购法实施条例》第九条及财政部关于回避的规定。</w:t>
      </w:r>
    </w:p>
    <w:p>
      <w:pPr>
        <w:spacing w:line="400" w:lineRule="exact"/>
        <w:ind w:firstLine="480" w:firstLineChars="200"/>
        <w:rPr>
          <w:rFonts w:hint="eastAsia" w:ascii="宋体"/>
          <w:sz w:val="24"/>
          <w:highlight w:val="none"/>
        </w:rPr>
      </w:pPr>
      <w:r>
        <w:rPr>
          <w:rFonts w:hint="eastAsia" w:ascii="宋体"/>
          <w:sz w:val="24"/>
          <w:highlight w:val="none"/>
        </w:rPr>
        <w:t>（二）评标前，应当将通讯工具或者相关电子设备交由比选采购单位统一保管。</w:t>
      </w:r>
    </w:p>
    <w:p>
      <w:pPr>
        <w:spacing w:line="400" w:lineRule="exact"/>
        <w:ind w:firstLine="480" w:firstLineChars="200"/>
        <w:rPr>
          <w:rFonts w:hint="eastAsia" w:ascii="宋体"/>
          <w:sz w:val="24"/>
          <w:highlight w:val="none"/>
        </w:rPr>
      </w:pPr>
      <w:r>
        <w:rPr>
          <w:rFonts w:hint="eastAsia" w:ascii="宋体"/>
          <w:sz w:val="24"/>
          <w:highlight w:val="none"/>
        </w:rPr>
        <w:t>（三）评标过程中，不得与外界联系，因发生不可预见情况，确实需要与外界联系的，应当在监督人员监督之下办理。</w:t>
      </w:r>
    </w:p>
    <w:p>
      <w:pPr>
        <w:spacing w:line="400" w:lineRule="exact"/>
        <w:ind w:firstLine="480" w:firstLineChars="200"/>
        <w:rPr>
          <w:rFonts w:hint="eastAsia" w:ascii="宋体"/>
          <w:sz w:val="24"/>
          <w:highlight w:val="none"/>
        </w:rPr>
      </w:pPr>
      <w:r>
        <w:rPr>
          <w:rFonts w:hint="eastAsia" w:ascii="宋体"/>
          <w:sz w:val="24"/>
          <w:highlight w:val="none"/>
        </w:rPr>
        <w:t>（四）评标过程中，不得干预或者影响正常评标工作，不得发表倾向性、引导性意见，不得修改或细化比选文件确定的评标程序、评标方法、评标因素和评标标准，不得接受供应商主动提出的澄清和解释，不得征询比选人代表的意见，不得协商评分，不得违反规定的评标格式评分和撰写评标意见，不得拒绝对自己的评标意见签字确认。</w:t>
      </w:r>
    </w:p>
    <w:p>
      <w:pPr>
        <w:spacing w:line="400" w:lineRule="exact"/>
        <w:ind w:firstLine="480" w:firstLineChars="200"/>
        <w:rPr>
          <w:rFonts w:hint="eastAsia" w:ascii="宋体"/>
          <w:sz w:val="24"/>
          <w:highlight w:val="none"/>
        </w:rPr>
      </w:pPr>
      <w:r>
        <w:rPr>
          <w:rFonts w:hint="eastAsia" w:ascii="宋体"/>
          <w:sz w:val="24"/>
          <w:highlight w:val="none"/>
        </w:rPr>
        <w:t>（五）在评标过程中和评标结束后，不得记录、复制或带走任何评标资料，除因规定的义务外，不得向外界透露评标内容。</w:t>
      </w:r>
    </w:p>
    <w:p>
      <w:pPr>
        <w:spacing w:line="400" w:lineRule="exact"/>
        <w:ind w:firstLine="480" w:firstLineChars="200"/>
        <w:rPr>
          <w:rFonts w:hint="eastAsia" w:ascii="宋体"/>
          <w:sz w:val="24"/>
          <w:highlight w:val="none"/>
        </w:rPr>
      </w:pPr>
      <w:r>
        <w:rPr>
          <w:rFonts w:hint="eastAsia" w:ascii="宋体"/>
          <w:sz w:val="24"/>
          <w:highlight w:val="none"/>
        </w:rPr>
        <w:t>（六）服从评标现场比选采购单位的现场秩序管理，接受评标现场监督人员的合法监督。</w:t>
      </w:r>
    </w:p>
    <w:p>
      <w:pPr>
        <w:spacing w:line="400" w:lineRule="exact"/>
        <w:ind w:firstLine="480" w:firstLineChars="200"/>
        <w:rPr>
          <w:rFonts w:hint="eastAsia" w:ascii="宋体"/>
          <w:sz w:val="24"/>
          <w:highlight w:val="none"/>
        </w:rPr>
      </w:pPr>
      <w:r>
        <w:rPr>
          <w:rFonts w:hint="eastAsia" w:ascii="宋体"/>
          <w:sz w:val="24"/>
          <w:highlight w:val="none"/>
        </w:rPr>
        <w:t>（七）遵守有关廉洁自律规定，不得私下接触供应商，不得收受供应商及有关业务单位和个人的财物或好处，不得接受采购组织单位的请托。</w:t>
      </w:r>
    </w:p>
    <w:p>
      <w:pPr>
        <w:spacing w:line="400" w:lineRule="exact"/>
        <w:rPr>
          <w:rFonts w:hint="eastAsia" w:ascii="宋体"/>
          <w:sz w:val="24"/>
          <w:highlight w:val="none"/>
        </w:rPr>
      </w:pPr>
    </w:p>
    <w:p>
      <w:pPr>
        <w:pStyle w:val="4"/>
        <w:spacing w:line="400" w:lineRule="exact"/>
        <w:jc w:val="center"/>
        <w:rPr>
          <w:rFonts w:hint="eastAsia"/>
          <w:sz w:val="36"/>
          <w:szCs w:val="36"/>
          <w:highlight w:val="none"/>
        </w:rPr>
      </w:pPr>
      <w:bookmarkStart w:id="156" w:name="_Toc23042"/>
      <w:r>
        <w:rPr>
          <w:rFonts w:hint="eastAsia"/>
          <w:sz w:val="36"/>
          <w:szCs w:val="36"/>
          <w:highlight w:val="none"/>
        </w:rPr>
        <w:br w:type="page"/>
      </w:r>
      <w:bookmarkStart w:id="157" w:name="_Toc2940"/>
      <w:r>
        <w:rPr>
          <w:rFonts w:hint="eastAsia"/>
          <w:sz w:val="36"/>
          <w:szCs w:val="36"/>
          <w:highlight w:val="none"/>
        </w:rPr>
        <w:t>第七章  采购合同（样例）</w:t>
      </w:r>
      <w:bookmarkEnd w:id="156"/>
      <w:bookmarkEnd w:id="157"/>
    </w:p>
    <w:p>
      <w:pPr>
        <w:spacing w:line="400" w:lineRule="exact"/>
        <w:rPr>
          <w:rFonts w:hint="eastAsia" w:ascii="宋体"/>
          <w:highlight w:val="none"/>
        </w:rPr>
      </w:pPr>
    </w:p>
    <w:p>
      <w:pPr>
        <w:spacing w:line="360" w:lineRule="auto"/>
        <w:ind w:firstLine="480" w:firstLineChars="200"/>
        <w:rPr>
          <w:rFonts w:hint="eastAsia" w:ascii="宋体"/>
          <w:sz w:val="24"/>
          <w:highlight w:val="none"/>
        </w:rPr>
      </w:pPr>
      <w:r>
        <w:rPr>
          <w:rFonts w:hint="eastAsia" w:ascii="宋体"/>
          <w:sz w:val="24"/>
          <w:highlight w:val="none"/>
        </w:rPr>
        <w:t>合同编号：</w:t>
      </w:r>
      <w:r>
        <w:rPr>
          <w:rFonts w:hint="eastAsia"/>
          <w:szCs w:val="21"/>
          <w:highlight w:val="none"/>
        </w:rPr>
        <w:t>XXXX。</w:t>
      </w:r>
    </w:p>
    <w:p>
      <w:pPr>
        <w:spacing w:line="360" w:lineRule="auto"/>
        <w:ind w:firstLine="480" w:firstLineChars="200"/>
        <w:rPr>
          <w:rFonts w:hint="eastAsia" w:ascii="宋体"/>
          <w:sz w:val="24"/>
          <w:highlight w:val="none"/>
        </w:rPr>
      </w:pPr>
      <w:r>
        <w:rPr>
          <w:rFonts w:hint="eastAsia" w:ascii="宋体"/>
          <w:sz w:val="24"/>
          <w:highlight w:val="none"/>
        </w:rPr>
        <w:t>签订地点：</w:t>
      </w:r>
      <w:r>
        <w:rPr>
          <w:rFonts w:hint="eastAsia"/>
          <w:szCs w:val="21"/>
          <w:highlight w:val="none"/>
        </w:rPr>
        <w:t>XXXX。</w:t>
      </w:r>
    </w:p>
    <w:p>
      <w:pPr>
        <w:spacing w:line="360" w:lineRule="auto"/>
        <w:ind w:firstLine="480" w:firstLineChars="200"/>
        <w:rPr>
          <w:rFonts w:hint="eastAsia" w:ascii="宋体"/>
          <w:sz w:val="24"/>
          <w:highlight w:val="none"/>
        </w:rPr>
      </w:pPr>
      <w:r>
        <w:rPr>
          <w:rFonts w:hint="eastAsia" w:ascii="宋体"/>
          <w:sz w:val="24"/>
          <w:highlight w:val="none"/>
        </w:rPr>
        <w:t>签订时间：</w:t>
      </w:r>
      <w:r>
        <w:rPr>
          <w:rFonts w:hint="eastAsia"/>
          <w:szCs w:val="21"/>
          <w:highlight w:val="none"/>
        </w:rPr>
        <w:t>XXXX</w:t>
      </w:r>
      <w:r>
        <w:rPr>
          <w:rFonts w:hint="eastAsia" w:ascii="宋体"/>
          <w:sz w:val="24"/>
          <w:highlight w:val="none"/>
        </w:rPr>
        <w:t>年</w:t>
      </w:r>
      <w:r>
        <w:rPr>
          <w:rFonts w:hint="eastAsia"/>
          <w:szCs w:val="21"/>
          <w:highlight w:val="none"/>
        </w:rPr>
        <w:t>XX</w:t>
      </w:r>
      <w:r>
        <w:rPr>
          <w:rFonts w:hint="eastAsia" w:ascii="宋体"/>
          <w:sz w:val="24"/>
          <w:highlight w:val="none"/>
        </w:rPr>
        <w:t>月</w:t>
      </w:r>
      <w:r>
        <w:rPr>
          <w:rFonts w:hint="eastAsia"/>
          <w:szCs w:val="21"/>
          <w:highlight w:val="none"/>
        </w:rPr>
        <w:t>XX</w:t>
      </w:r>
      <w:r>
        <w:rPr>
          <w:rFonts w:hint="eastAsia" w:ascii="宋体"/>
          <w:sz w:val="24"/>
          <w:highlight w:val="none"/>
        </w:rPr>
        <w:t>日。</w:t>
      </w:r>
    </w:p>
    <w:p>
      <w:pPr>
        <w:spacing w:line="360" w:lineRule="auto"/>
        <w:ind w:firstLine="480" w:firstLineChars="200"/>
        <w:rPr>
          <w:rFonts w:hint="eastAsia" w:ascii="宋体"/>
          <w:sz w:val="24"/>
          <w:highlight w:val="none"/>
        </w:rPr>
      </w:pPr>
      <w:r>
        <w:rPr>
          <w:rFonts w:hint="eastAsia" w:ascii="宋体"/>
          <w:sz w:val="24"/>
          <w:highlight w:val="none"/>
        </w:rPr>
        <w:t xml:space="preserve">比选人（甲方）：                              </w:t>
      </w:r>
    </w:p>
    <w:p>
      <w:pPr>
        <w:spacing w:line="360" w:lineRule="auto"/>
        <w:ind w:firstLine="480" w:firstLineChars="200"/>
        <w:rPr>
          <w:rFonts w:hint="eastAsia" w:ascii="宋体"/>
          <w:sz w:val="24"/>
          <w:highlight w:val="none"/>
        </w:rPr>
      </w:pPr>
      <w:r>
        <w:rPr>
          <w:rFonts w:hint="eastAsia"/>
          <w:sz w:val="24"/>
          <w:highlight w:val="none"/>
        </w:rPr>
        <w:t>供应商（乙</w:t>
      </w:r>
      <w:r>
        <w:rPr>
          <w:sz w:val="24"/>
          <w:highlight w:val="none"/>
        </w:rPr>
        <w:t>方</w:t>
      </w:r>
      <w:r>
        <w:rPr>
          <w:rFonts w:hint="eastAsia"/>
          <w:sz w:val="24"/>
          <w:highlight w:val="none"/>
        </w:rPr>
        <w:t>）</w:t>
      </w:r>
      <w:r>
        <w:rPr>
          <w:sz w:val="24"/>
          <w:highlight w:val="none"/>
        </w:rPr>
        <w:t xml:space="preserve">：                              </w:t>
      </w:r>
      <w:r>
        <w:rPr>
          <w:highlight w:val="none"/>
        </w:rPr>
        <w:t xml:space="preserve"> </w:t>
      </w:r>
      <w:r>
        <w:rPr>
          <w:rFonts w:hint="eastAsia"/>
          <w:highlight w:val="none"/>
        </w:rPr>
        <w:t xml:space="preserve">                                    </w:t>
      </w:r>
      <w:r>
        <w:rPr>
          <w:highlight w:val="none"/>
        </w:rPr>
        <w:t xml:space="preserve">  </w:t>
      </w:r>
    </w:p>
    <w:p>
      <w:pPr>
        <w:spacing w:line="400" w:lineRule="exact"/>
        <w:rPr>
          <w:rFonts w:hint="eastAsia" w:ascii="宋体"/>
          <w:sz w:val="24"/>
          <w:highlight w:val="none"/>
        </w:rPr>
      </w:pPr>
    </w:p>
    <w:p>
      <w:pPr>
        <w:pStyle w:val="48"/>
        <w:ind w:firstLine="480"/>
        <w:rPr>
          <w:rFonts w:hint="eastAsia" w:ascii="宋体"/>
          <w:highlight w:val="none"/>
        </w:rPr>
      </w:pPr>
      <w:r>
        <w:rPr>
          <w:rFonts w:hint="eastAsia" w:ascii="宋体"/>
          <w:highlight w:val="none"/>
        </w:rPr>
        <w:t>根据《中华人民共和国政府采购法》、《中华人民共和国合同法》及</w:t>
      </w:r>
      <w:r>
        <w:rPr>
          <w:rFonts w:hint="eastAsia"/>
          <w:szCs w:val="21"/>
          <w:highlight w:val="none"/>
        </w:rPr>
        <w:t>XXXX</w:t>
      </w:r>
      <w:r>
        <w:rPr>
          <w:rFonts w:hint="eastAsia" w:ascii="宋体"/>
          <w:highlight w:val="none"/>
        </w:rPr>
        <w:t>采购项目的《比选文件》、乙方的《比选</w:t>
      </w:r>
      <w:r>
        <w:rPr>
          <w:rFonts w:hint="eastAsia" w:ascii="宋体"/>
          <w:highlight w:val="none"/>
          <w:lang w:eastAsia="zh-CN"/>
        </w:rPr>
        <w:t>申请</w:t>
      </w:r>
      <w:r>
        <w:rPr>
          <w:rFonts w:hint="eastAsia" w:ascii="宋体"/>
          <w:highlight w:val="none"/>
        </w:rPr>
        <w:t>文件》及《中标通知书》，甲、乙双方同意签订本合同。详细技术说明及其他有关合同项目的特定信息由合同附件予以说明，合同附件及本项目的比选文件、比选</w:t>
      </w:r>
      <w:r>
        <w:rPr>
          <w:rFonts w:hint="eastAsia" w:ascii="宋体"/>
          <w:highlight w:val="none"/>
          <w:lang w:eastAsia="zh-CN"/>
        </w:rPr>
        <w:t>申请</w:t>
      </w:r>
      <w:r>
        <w:rPr>
          <w:rFonts w:hint="eastAsia" w:ascii="宋体"/>
          <w:highlight w:val="none"/>
        </w:rPr>
        <w:t>文件等均为本合同不可分割的部分。双方同意共同遵守如下条款：</w:t>
      </w:r>
    </w:p>
    <w:p>
      <w:pPr>
        <w:numPr>
          <w:ilvl w:val="0"/>
          <w:numId w:val="2"/>
        </w:numPr>
        <w:spacing w:line="360" w:lineRule="auto"/>
        <w:rPr>
          <w:rFonts w:hint="eastAsia" w:ascii="宋体" w:hAnsi="宋体"/>
          <w:b/>
          <w:sz w:val="24"/>
          <w:highlight w:val="none"/>
        </w:rPr>
      </w:pPr>
      <w:bookmarkStart w:id="158" w:name="_Toc217446115"/>
      <w:r>
        <w:rPr>
          <w:rFonts w:hint="eastAsia" w:ascii="宋体" w:hAnsi="宋体"/>
          <w:b/>
          <w:sz w:val="24"/>
          <w:highlight w:val="none"/>
        </w:rPr>
        <w:t>项目基本情况</w:t>
      </w:r>
    </w:p>
    <w:p>
      <w:pPr>
        <w:spacing w:line="360" w:lineRule="auto"/>
        <w:ind w:firstLine="630"/>
        <w:rPr>
          <w:rFonts w:hint="eastAsia" w:ascii="宋体" w:hAnsi="宋体"/>
          <w:b/>
          <w:sz w:val="24"/>
          <w:highlight w:val="none"/>
        </w:rPr>
      </w:pPr>
    </w:p>
    <w:p>
      <w:pPr>
        <w:numPr>
          <w:ilvl w:val="0"/>
          <w:numId w:val="2"/>
        </w:numPr>
        <w:spacing w:line="360" w:lineRule="auto"/>
        <w:rPr>
          <w:rFonts w:ascii="宋体" w:hAnsi="宋体"/>
          <w:b/>
          <w:sz w:val="24"/>
          <w:highlight w:val="none"/>
        </w:rPr>
      </w:pPr>
      <w:r>
        <w:rPr>
          <w:rFonts w:hint="eastAsia" w:ascii="宋体" w:hAnsi="宋体"/>
          <w:b/>
          <w:sz w:val="24"/>
          <w:highlight w:val="none"/>
        </w:rPr>
        <w:t>合同期限</w:t>
      </w:r>
    </w:p>
    <w:p>
      <w:pPr>
        <w:spacing w:line="360" w:lineRule="auto"/>
        <w:ind w:firstLine="480" w:firstLineChars="200"/>
        <w:rPr>
          <w:rFonts w:ascii="宋体" w:hAnsi="宋体"/>
          <w:sz w:val="24"/>
          <w:highlight w:val="none"/>
        </w:rPr>
      </w:pPr>
    </w:p>
    <w:p>
      <w:pPr>
        <w:numPr>
          <w:ilvl w:val="0"/>
          <w:numId w:val="2"/>
        </w:numPr>
        <w:spacing w:line="360" w:lineRule="auto"/>
        <w:rPr>
          <w:rFonts w:hint="eastAsia" w:ascii="宋体" w:hAnsi="宋体"/>
          <w:b/>
          <w:sz w:val="24"/>
          <w:highlight w:val="none"/>
        </w:rPr>
      </w:pPr>
      <w:bookmarkStart w:id="159" w:name="_Toc241833903"/>
      <w:bookmarkStart w:id="160" w:name="_Toc232492928"/>
      <w:bookmarkStart w:id="161" w:name="_Toc251768862"/>
      <w:bookmarkStart w:id="162" w:name="_Toc211854449"/>
      <w:bookmarkStart w:id="163" w:name="_Toc225244852"/>
      <w:bookmarkStart w:id="164" w:name="_Toc286993786"/>
      <w:bookmarkStart w:id="165" w:name="_Toc282696226"/>
      <w:bookmarkStart w:id="166" w:name="_Toc247334841"/>
      <w:bookmarkStart w:id="167" w:name="_Toc237145406"/>
      <w:bookmarkStart w:id="168" w:name="_Toc212019594"/>
      <w:bookmarkStart w:id="169" w:name="_Toc239568418"/>
      <w:bookmarkStart w:id="170" w:name="_Toc239233914"/>
      <w:bookmarkStart w:id="171" w:name="_Toc283019214"/>
      <w:bookmarkStart w:id="172" w:name="_Toc225670751"/>
      <w:bookmarkStart w:id="173" w:name="_Toc185395249"/>
      <w:bookmarkStart w:id="174" w:name="_Toc238984975"/>
      <w:bookmarkStart w:id="175" w:name="_Toc225654644"/>
      <w:bookmarkStart w:id="176" w:name="_Toc211911348"/>
      <w:r>
        <w:rPr>
          <w:rFonts w:hint="eastAsia" w:ascii="宋体" w:hAnsi="宋体"/>
          <w:b/>
          <w:sz w:val="24"/>
          <w:highlight w:val="none"/>
        </w:rPr>
        <w:t>服务内容与质量标准</w:t>
      </w:r>
    </w:p>
    <w:p>
      <w:pPr>
        <w:numPr>
          <w:ilvl w:val="0"/>
          <w:numId w:val="3"/>
        </w:numPr>
        <w:spacing w:line="360" w:lineRule="auto"/>
        <w:ind w:left="0" w:firstLine="567"/>
        <w:rPr>
          <w:rFonts w:hint="eastAsia" w:ascii="宋体" w:hAnsi="宋体"/>
          <w:sz w:val="24"/>
          <w:highlight w:val="none"/>
        </w:rPr>
      </w:pPr>
    </w:p>
    <w:p>
      <w:pPr>
        <w:numPr>
          <w:ilvl w:val="0"/>
          <w:numId w:val="3"/>
        </w:numPr>
        <w:spacing w:line="360" w:lineRule="auto"/>
        <w:ind w:left="0" w:firstLine="567"/>
        <w:rPr>
          <w:rFonts w:hint="eastAsia" w:ascii="宋体" w:hAnsi="宋体"/>
          <w:sz w:val="24"/>
          <w:highlight w:val="none"/>
        </w:rPr>
      </w:pPr>
    </w:p>
    <w:p>
      <w:pPr>
        <w:numPr>
          <w:ilvl w:val="0"/>
          <w:numId w:val="3"/>
        </w:numPr>
        <w:spacing w:line="360" w:lineRule="auto"/>
        <w:ind w:left="0" w:firstLine="567"/>
        <w:rPr>
          <w:rFonts w:hint="eastAsia" w:ascii="宋体" w:hAnsi="宋体"/>
          <w:sz w:val="24"/>
          <w:highlight w:val="none"/>
        </w:rPr>
      </w:pPr>
    </w:p>
    <w:p>
      <w:pPr>
        <w:numPr>
          <w:ilvl w:val="0"/>
          <w:numId w:val="3"/>
        </w:numPr>
        <w:spacing w:line="360" w:lineRule="auto"/>
        <w:ind w:left="0" w:firstLine="567"/>
        <w:rPr>
          <w:rFonts w:hint="eastAsia" w:ascii="宋体" w:hAnsi="宋体"/>
          <w:sz w:val="24"/>
          <w:highlight w:val="none"/>
        </w:rPr>
      </w:pPr>
    </w:p>
    <w:p>
      <w:pPr>
        <w:numPr>
          <w:ilvl w:val="0"/>
          <w:numId w:val="3"/>
        </w:numPr>
        <w:spacing w:line="360" w:lineRule="auto"/>
        <w:ind w:left="0" w:firstLine="567"/>
        <w:rPr>
          <w:rFonts w:hint="eastAsia" w:ascii="宋体" w:hAnsi="宋体"/>
          <w:sz w:val="24"/>
          <w:highlight w:val="none"/>
        </w:rPr>
      </w:pPr>
    </w:p>
    <w:p>
      <w:pPr>
        <w:spacing w:line="360" w:lineRule="auto"/>
        <w:ind w:firstLine="630"/>
        <w:rPr>
          <w:rFonts w:hint="eastAsia" w:ascii="宋体" w:hAnsi="宋体"/>
          <w:sz w:val="24"/>
          <w:highlight w:val="none"/>
        </w:rPr>
      </w:pPr>
      <w:r>
        <w:rPr>
          <w:rFonts w:ascii="宋体" w:hAnsi="宋体"/>
          <w:sz w:val="24"/>
          <w:highlight w:val="none"/>
        </w:rPr>
        <w:t>…</w:t>
      </w:r>
    </w:p>
    <w:p>
      <w:pPr>
        <w:numPr>
          <w:ilvl w:val="0"/>
          <w:numId w:val="2"/>
        </w:numPr>
        <w:spacing w:line="360" w:lineRule="auto"/>
        <w:rPr>
          <w:rFonts w:hint="eastAsia" w:ascii="宋体" w:hAnsi="宋体"/>
          <w:b/>
          <w:sz w:val="24"/>
          <w:highlight w:val="none"/>
        </w:rPr>
      </w:pPr>
      <w:r>
        <w:rPr>
          <w:rFonts w:hint="eastAsia" w:ascii="宋体" w:hAnsi="宋体"/>
          <w:b/>
          <w:sz w:val="24"/>
          <w:highlight w:val="none"/>
        </w:rPr>
        <w:t>服务费用及支付方式</w:t>
      </w:r>
    </w:p>
    <w:p>
      <w:pPr>
        <w:numPr>
          <w:ilvl w:val="0"/>
          <w:numId w:val="4"/>
        </w:numPr>
        <w:spacing w:line="360" w:lineRule="auto"/>
        <w:ind w:left="0" w:firstLine="567"/>
        <w:rPr>
          <w:rFonts w:hint="eastAsia" w:ascii="宋体" w:hAnsi="宋体"/>
          <w:b/>
          <w:sz w:val="24"/>
          <w:highlight w:val="none"/>
        </w:rPr>
      </w:pPr>
      <w:r>
        <w:rPr>
          <w:rFonts w:hint="eastAsia" w:ascii="宋体" w:hAnsi="宋体"/>
          <w:b/>
          <w:sz w:val="24"/>
          <w:highlight w:val="none"/>
        </w:rPr>
        <w:t>本项目服务费用由以下组成：</w:t>
      </w:r>
    </w:p>
    <w:p>
      <w:pPr>
        <w:numPr>
          <w:ilvl w:val="0"/>
          <w:numId w:val="5"/>
        </w:numPr>
        <w:spacing w:line="360" w:lineRule="auto"/>
        <w:rPr>
          <w:rFonts w:hint="eastAsia" w:ascii="宋体" w:hAnsi="宋体"/>
          <w:sz w:val="24"/>
          <w:highlight w:val="none"/>
        </w:rPr>
      </w:pPr>
      <w:r>
        <w:rPr>
          <w:rFonts w:hint="eastAsia" w:ascii="宋体" w:hAnsi="宋体"/>
          <w:sz w:val="24"/>
          <w:highlight w:val="none"/>
        </w:rPr>
        <w:t>　　　　万元；</w:t>
      </w:r>
    </w:p>
    <w:p>
      <w:pPr>
        <w:numPr>
          <w:ilvl w:val="0"/>
          <w:numId w:val="5"/>
        </w:numPr>
        <w:spacing w:line="360" w:lineRule="auto"/>
        <w:rPr>
          <w:rFonts w:hint="eastAsia" w:ascii="宋体" w:hAnsi="宋体"/>
          <w:sz w:val="24"/>
          <w:highlight w:val="none"/>
        </w:rPr>
      </w:pPr>
      <w:r>
        <w:rPr>
          <w:rFonts w:hint="eastAsia" w:ascii="宋体" w:hAnsi="宋体"/>
          <w:sz w:val="24"/>
          <w:highlight w:val="none"/>
        </w:rPr>
        <w:t xml:space="preserve">        万元；</w:t>
      </w:r>
    </w:p>
    <w:p>
      <w:pPr>
        <w:numPr>
          <w:ilvl w:val="0"/>
          <w:numId w:val="5"/>
        </w:numPr>
        <w:spacing w:line="360" w:lineRule="auto"/>
        <w:rPr>
          <w:rFonts w:hint="eastAsia" w:ascii="宋体" w:hAnsi="宋体"/>
          <w:sz w:val="24"/>
          <w:highlight w:val="none"/>
        </w:rPr>
      </w:pPr>
      <w:r>
        <w:rPr>
          <w:rFonts w:hint="eastAsia" w:ascii="宋体" w:hAnsi="宋体"/>
          <w:sz w:val="24"/>
          <w:highlight w:val="none"/>
        </w:rPr>
        <w:t xml:space="preserve">        万元。</w:t>
      </w:r>
    </w:p>
    <w:p>
      <w:pPr>
        <w:numPr>
          <w:ilvl w:val="0"/>
          <w:numId w:val="4"/>
        </w:numPr>
        <w:tabs>
          <w:tab w:val="left" w:pos="780"/>
        </w:tabs>
        <w:spacing w:line="360" w:lineRule="auto"/>
        <w:ind w:left="0" w:firstLine="567"/>
        <w:rPr>
          <w:rFonts w:hint="eastAsia" w:ascii="宋体" w:hAnsi="宋体"/>
          <w:b/>
          <w:sz w:val="24"/>
          <w:highlight w:val="none"/>
        </w:rPr>
      </w:pPr>
      <w:r>
        <w:rPr>
          <w:rFonts w:hint="eastAsia" w:ascii="宋体" w:hAnsi="宋体"/>
          <w:b/>
          <w:sz w:val="24"/>
          <w:highlight w:val="none"/>
        </w:rPr>
        <w:t xml:space="preserve">服务费支付方式： </w:t>
      </w:r>
    </w:p>
    <w:p>
      <w:pPr>
        <w:numPr>
          <w:ilvl w:val="0"/>
          <w:numId w:val="2"/>
        </w:numPr>
        <w:spacing w:line="360" w:lineRule="auto"/>
        <w:rPr>
          <w:rFonts w:hint="eastAsia" w:ascii="宋体" w:hAnsi="宋体"/>
          <w:b/>
          <w:sz w:val="24"/>
          <w:highlight w:val="none"/>
        </w:rPr>
      </w:pPr>
      <w:r>
        <w:rPr>
          <w:rFonts w:hint="eastAsia" w:ascii="宋体" w:hAnsi="宋体"/>
          <w:b/>
          <w:sz w:val="24"/>
          <w:highlight w:val="none"/>
        </w:rPr>
        <w:t>知识产权</w:t>
      </w:r>
    </w:p>
    <w:p>
      <w:pPr>
        <w:tabs>
          <w:tab w:val="left" w:pos="1440"/>
        </w:tabs>
        <w:spacing w:line="360" w:lineRule="auto"/>
        <w:ind w:firstLine="480" w:firstLineChars="200"/>
        <w:rPr>
          <w:rFonts w:hint="eastAsia" w:ascii="宋体" w:hAnsi="宋体"/>
          <w:sz w:val="24"/>
          <w:highlight w:val="none"/>
        </w:rPr>
      </w:pPr>
      <w:r>
        <w:rPr>
          <w:rFonts w:hint="eastAsia" w:ascii="宋体" w:hAnsi="宋体"/>
          <w:sz w:val="24"/>
          <w:highlight w:val="none"/>
        </w:rPr>
        <w:t>乙方应保证所提供的服务或其任何一部分均不会侵犯任何第三方的专利权、商标权或著作权。</w:t>
      </w:r>
    </w:p>
    <w:p>
      <w:pPr>
        <w:numPr>
          <w:ilvl w:val="0"/>
          <w:numId w:val="2"/>
        </w:numPr>
        <w:spacing w:line="360" w:lineRule="auto"/>
        <w:rPr>
          <w:rFonts w:hint="eastAsia" w:ascii="宋体" w:hAnsi="宋体"/>
          <w:b/>
          <w:sz w:val="24"/>
          <w:highlight w:val="none"/>
        </w:rPr>
      </w:pPr>
      <w:r>
        <w:rPr>
          <w:rFonts w:hint="eastAsia" w:ascii="宋体" w:hAnsi="宋体"/>
          <w:b/>
          <w:sz w:val="24"/>
          <w:highlight w:val="none"/>
        </w:rPr>
        <w:t>无产权瑕疵条款</w:t>
      </w:r>
    </w:p>
    <w:p>
      <w:pPr>
        <w:tabs>
          <w:tab w:val="left" w:pos="1440"/>
        </w:tabs>
        <w:spacing w:line="360" w:lineRule="auto"/>
        <w:ind w:firstLine="480" w:firstLineChars="200"/>
        <w:rPr>
          <w:rFonts w:hint="eastAsia" w:ascii="宋体" w:hAnsi="宋体"/>
          <w:sz w:val="24"/>
          <w:highlight w:val="none"/>
        </w:rPr>
      </w:pPr>
      <w:r>
        <w:rPr>
          <w:rFonts w:hint="eastAsia" w:ascii="宋体" w:hAnsi="宋体"/>
          <w:sz w:val="24"/>
          <w:highlight w:val="none"/>
        </w:rPr>
        <w:t>乙方保证所提供的服务的所有权完全属于乙方且无任何抵押、查封等产权瑕疵。如有产权瑕疵的，视为乙方违约。乙方应负担由此而产生的一切损失。</w:t>
      </w:r>
    </w:p>
    <w:p>
      <w:pPr>
        <w:numPr>
          <w:ilvl w:val="0"/>
          <w:numId w:val="2"/>
        </w:numPr>
        <w:spacing w:line="360" w:lineRule="auto"/>
        <w:rPr>
          <w:rFonts w:hint="eastAsia" w:ascii="宋体" w:hAnsi="宋体"/>
          <w:b/>
          <w:sz w:val="24"/>
          <w:highlight w:val="none"/>
        </w:rPr>
      </w:pPr>
      <w:r>
        <w:rPr>
          <w:rFonts w:hint="eastAsia" w:ascii="宋体" w:hAnsi="宋体"/>
          <w:b/>
          <w:sz w:val="24"/>
          <w:highlight w:val="none"/>
        </w:rPr>
        <w:t>履约保证金</w:t>
      </w:r>
    </w:p>
    <w:p>
      <w:pPr>
        <w:pStyle w:val="3"/>
        <w:numPr>
          <w:ilvl w:val="0"/>
          <w:numId w:val="6"/>
        </w:numPr>
        <w:spacing w:line="360" w:lineRule="auto"/>
        <w:ind w:left="0" w:firstLine="567"/>
        <w:rPr>
          <w:rFonts w:hint="eastAsia" w:hAnsi="宋体"/>
          <w:sz w:val="24"/>
          <w:highlight w:val="none"/>
        </w:rPr>
      </w:pPr>
      <w:r>
        <w:rPr>
          <w:rFonts w:hint="eastAsia" w:hAnsi="宋体"/>
          <w:sz w:val="24"/>
          <w:highlight w:val="none"/>
        </w:rPr>
        <w:t>乙方交纳人民币</w:t>
      </w:r>
      <w:r>
        <w:rPr>
          <w:rFonts w:hint="eastAsia" w:hAnsi="宋体"/>
          <w:sz w:val="24"/>
          <w:highlight w:val="none"/>
          <w:u w:val="single"/>
        </w:rPr>
        <w:t>　　　　　　</w:t>
      </w:r>
      <w:r>
        <w:rPr>
          <w:rFonts w:hint="eastAsia" w:hAnsi="宋体"/>
          <w:sz w:val="24"/>
          <w:highlight w:val="none"/>
        </w:rPr>
        <w:t>元作为本合同的履约保证金。</w:t>
      </w:r>
    </w:p>
    <w:p>
      <w:pPr>
        <w:pStyle w:val="3"/>
        <w:numPr>
          <w:ilvl w:val="0"/>
          <w:numId w:val="6"/>
        </w:numPr>
        <w:spacing w:line="360" w:lineRule="auto"/>
        <w:ind w:left="0" w:firstLine="567"/>
        <w:rPr>
          <w:rFonts w:hint="eastAsia" w:hAnsi="宋体"/>
          <w:sz w:val="24"/>
          <w:highlight w:val="none"/>
        </w:rPr>
      </w:pPr>
      <w:r>
        <w:rPr>
          <w:rFonts w:hint="eastAsia" w:hAnsi="宋体"/>
          <w:sz w:val="24"/>
          <w:highlight w:val="none"/>
        </w:rPr>
        <w:t>履约保证金作为违约金的一部分及用于补偿甲方因乙方不能履行合同义务而蒙受的损失。</w:t>
      </w:r>
    </w:p>
    <w:p>
      <w:pPr>
        <w:numPr>
          <w:ilvl w:val="0"/>
          <w:numId w:val="2"/>
        </w:numPr>
        <w:spacing w:line="360" w:lineRule="auto"/>
        <w:rPr>
          <w:rFonts w:ascii="宋体" w:hAnsi="宋体"/>
          <w:b/>
          <w:sz w:val="24"/>
          <w:highlight w:val="none"/>
        </w:rPr>
      </w:pPr>
      <w:r>
        <w:rPr>
          <w:rFonts w:ascii="宋体" w:hAnsi="宋体"/>
          <w:b/>
          <w:sz w:val="24"/>
          <w:highlight w:val="none"/>
        </w:rPr>
        <w:t>甲方的权利和义务</w:t>
      </w:r>
    </w:p>
    <w:p>
      <w:pPr>
        <w:numPr>
          <w:ilvl w:val="0"/>
          <w:numId w:val="7"/>
        </w:numPr>
        <w:tabs>
          <w:tab w:val="left" w:pos="1440"/>
        </w:tabs>
        <w:adjustRightInd w:val="0"/>
        <w:spacing w:line="360" w:lineRule="auto"/>
        <w:ind w:left="0" w:firstLine="420"/>
        <w:jc w:val="left"/>
        <w:textAlignment w:val="baseline"/>
        <w:rPr>
          <w:rFonts w:hint="eastAsia" w:ascii="宋体" w:hAnsi="宋体"/>
          <w:bCs/>
          <w:sz w:val="24"/>
          <w:highlight w:val="none"/>
        </w:rPr>
      </w:pPr>
      <w:r>
        <w:rPr>
          <w:rFonts w:ascii="宋体" w:hAnsi="宋体"/>
          <w:bCs/>
          <w:sz w:val="24"/>
          <w:highlight w:val="none"/>
        </w:rPr>
        <w:t>甲方有权对合同规定范围内</w:t>
      </w:r>
      <w:r>
        <w:rPr>
          <w:rFonts w:hint="eastAsia" w:ascii="宋体" w:hAnsi="宋体"/>
          <w:bCs/>
          <w:sz w:val="24"/>
          <w:highlight w:val="none"/>
        </w:rPr>
        <w:t>乙方的服务行为</w:t>
      </w:r>
      <w:r>
        <w:rPr>
          <w:rFonts w:ascii="宋体" w:hAnsi="宋体"/>
          <w:bCs/>
          <w:sz w:val="24"/>
          <w:highlight w:val="none"/>
        </w:rPr>
        <w:t>进行监督和检查，拥有监管权。有权定期核对乙方提供服务所配备的人员数量。对甲方认为不合理的部分有权</w:t>
      </w:r>
      <w:r>
        <w:rPr>
          <w:rFonts w:hint="eastAsia" w:ascii="宋体" w:hAnsi="宋体"/>
          <w:bCs/>
          <w:sz w:val="24"/>
          <w:highlight w:val="none"/>
        </w:rPr>
        <w:t>下达整改通知书，并</w:t>
      </w:r>
      <w:r>
        <w:rPr>
          <w:rFonts w:ascii="宋体" w:hAnsi="宋体"/>
          <w:bCs/>
          <w:sz w:val="24"/>
          <w:highlight w:val="none"/>
        </w:rPr>
        <w:t>要求乙方</w:t>
      </w:r>
      <w:r>
        <w:rPr>
          <w:rFonts w:hint="eastAsia" w:ascii="宋体" w:hAnsi="宋体"/>
          <w:bCs/>
          <w:sz w:val="24"/>
          <w:highlight w:val="none"/>
        </w:rPr>
        <w:t>限期整改</w:t>
      </w:r>
      <w:r>
        <w:rPr>
          <w:rFonts w:ascii="宋体" w:hAnsi="宋体"/>
          <w:bCs/>
          <w:sz w:val="24"/>
          <w:highlight w:val="none"/>
        </w:rPr>
        <w:t>。</w:t>
      </w:r>
    </w:p>
    <w:p>
      <w:pPr>
        <w:numPr>
          <w:ilvl w:val="0"/>
          <w:numId w:val="7"/>
        </w:numPr>
        <w:tabs>
          <w:tab w:val="left" w:pos="1440"/>
        </w:tabs>
        <w:adjustRightInd w:val="0"/>
        <w:spacing w:line="360" w:lineRule="auto"/>
        <w:ind w:left="0" w:firstLine="420"/>
        <w:jc w:val="left"/>
        <w:textAlignment w:val="baseline"/>
        <w:rPr>
          <w:rFonts w:ascii="宋体" w:hAnsi="宋体"/>
          <w:bCs/>
          <w:sz w:val="24"/>
          <w:highlight w:val="none"/>
        </w:rPr>
      </w:pPr>
      <w:r>
        <w:rPr>
          <w:rFonts w:hint="eastAsia" w:ascii="宋体" w:hAnsi="宋体"/>
          <w:bCs/>
          <w:sz w:val="24"/>
          <w:highlight w:val="none"/>
        </w:rPr>
        <w:t>甲方有权依据双方签订的考评办法对乙方提供的服务进行定期考评。当考评结果未达到标准时，有权依据考评办法约定的数额扣除履约保证金。</w:t>
      </w:r>
    </w:p>
    <w:p>
      <w:pPr>
        <w:numPr>
          <w:ilvl w:val="0"/>
          <w:numId w:val="7"/>
        </w:numPr>
        <w:tabs>
          <w:tab w:val="left" w:pos="1440"/>
        </w:tabs>
        <w:adjustRightInd w:val="0"/>
        <w:spacing w:line="360" w:lineRule="auto"/>
        <w:ind w:left="0" w:firstLine="420"/>
        <w:jc w:val="left"/>
        <w:textAlignment w:val="baseline"/>
        <w:rPr>
          <w:rFonts w:ascii="宋体" w:hAnsi="宋体"/>
          <w:bCs/>
          <w:sz w:val="24"/>
          <w:highlight w:val="none"/>
        </w:rPr>
      </w:pPr>
      <w:r>
        <w:rPr>
          <w:rFonts w:ascii="宋体" w:hAnsi="宋体"/>
          <w:bCs/>
          <w:sz w:val="24"/>
          <w:highlight w:val="none"/>
        </w:rPr>
        <w:t>负责检查监督乙方管理工作的实施及制度的执行情况。</w:t>
      </w:r>
    </w:p>
    <w:p>
      <w:pPr>
        <w:numPr>
          <w:ilvl w:val="0"/>
          <w:numId w:val="7"/>
        </w:numPr>
        <w:tabs>
          <w:tab w:val="left" w:pos="1440"/>
        </w:tabs>
        <w:adjustRightInd w:val="0"/>
        <w:spacing w:line="360" w:lineRule="auto"/>
        <w:ind w:left="0" w:firstLine="420"/>
        <w:jc w:val="left"/>
        <w:textAlignment w:val="baseline"/>
        <w:rPr>
          <w:rFonts w:ascii="宋体" w:hAnsi="宋体"/>
          <w:bCs/>
          <w:sz w:val="24"/>
          <w:highlight w:val="none"/>
        </w:rPr>
      </w:pPr>
      <w:r>
        <w:rPr>
          <w:rFonts w:ascii="宋体" w:hAnsi="宋体"/>
          <w:bCs/>
          <w:sz w:val="24"/>
          <w:highlight w:val="none"/>
        </w:rPr>
        <w:t>根据本合同规定，按时向乙方支付应付</w:t>
      </w:r>
      <w:r>
        <w:rPr>
          <w:rFonts w:hint="eastAsia" w:ascii="宋体" w:hAnsi="宋体"/>
          <w:bCs/>
          <w:sz w:val="24"/>
          <w:highlight w:val="none"/>
        </w:rPr>
        <w:t>服务费用</w:t>
      </w:r>
      <w:r>
        <w:rPr>
          <w:rFonts w:ascii="宋体" w:hAnsi="宋体"/>
          <w:bCs/>
          <w:sz w:val="24"/>
          <w:highlight w:val="none"/>
        </w:rPr>
        <w:t>。</w:t>
      </w:r>
    </w:p>
    <w:p>
      <w:pPr>
        <w:numPr>
          <w:ilvl w:val="0"/>
          <w:numId w:val="7"/>
        </w:numPr>
        <w:tabs>
          <w:tab w:val="left" w:pos="1440"/>
        </w:tabs>
        <w:adjustRightInd w:val="0"/>
        <w:spacing w:line="360" w:lineRule="auto"/>
        <w:ind w:left="0" w:firstLine="420"/>
        <w:jc w:val="left"/>
        <w:textAlignment w:val="baseline"/>
        <w:rPr>
          <w:rFonts w:ascii="宋体" w:hAnsi="宋体"/>
          <w:bCs/>
          <w:sz w:val="24"/>
          <w:highlight w:val="none"/>
        </w:rPr>
      </w:pPr>
      <w:r>
        <w:rPr>
          <w:rFonts w:ascii="宋体" w:hAnsi="宋体"/>
          <w:bCs/>
          <w:sz w:val="24"/>
          <w:highlight w:val="none"/>
        </w:rPr>
        <w:t>国家法律、法规所规定由甲方承担的其它责任。</w:t>
      </w:r>
    </w:p>
    <w:p>
      <w:pPr>
        <w:numPr>
          <w:ilvl w:val="0"/>
          <w:numId w:val="2"/>
        </w:numPr>
        <w:spacing w:line="360" w:lineRule="auto"/>
        <w:rPr>
          <w:rFonts w:ascii="宋体" w:hAnsi="宋体"/>
          <w:b/>
          <w:sz w:val="24"/>
          <w:highlight w:val="none"/>
        </w:rPr>
      </w:pPr>
      <w:r>
        <w:rPr>
          <w:rFonts w:ascii="宋体" w:hAnsi="宋体"/>
          <w:b/>
          <w:sz w:val="24"/>
          <w:highlight w:val="none"/>
        </w:rPr>
        <w:t>乙方的权利和义务</w:t>
      </w:r>
    </w:p>
    <w:p>
      <w:pPr>
        <w:numPr>
          <w:ilvl w:val="0"/>
          <w:numId w:val="8"/>
        </w:numPr>
        <w:adjustRightInd w:val="0"/>
        <w:spacing w:line="360" w:lineRule="auto"/>
        <w:ind w:left="0" w:firstLine="567"/>
        <w:jc w:val="left"/>
        <w:textAlignment w:val="baseline"/>
        <w:rPr>
          <w:rFonts w:ascii="宋体" w:hAnsi="宋体"/>
          <w:bCs/>
          <w:sz w:val="24"/>
          <w:highlight w:val="none"/>
        </w:rPr>
      </w:pPr>
      <w:r>
        <w:rPr>
          <w:rFonts w:ascii="宋体" w:hAnsi="宋体"/>
          <w:bCs/>
          <w:sz w:val="24"/>
          <w:highlight w:val="none"/>
        </w:rPr>
        <w:t>对本合同规定的委托</w:t>
      </w:r>
      <w:r>
        <w:rPr>
          <w:rFonts w:hint="eastAsia" w:ascii="宋体" w:hAnsi="宋体"/>
          <w:bCs/>
          <w:sz w:val="24"/>
          <w:highlight w:val="none"/>
        </w:rPr>
        <w:t>服务</w:t>
      </w:r>
      <w:r>
        <w:rPr>
          <w:rFonts w:ascii="宋体" w:hAnsi="宋体"/>
          <w:bCs/>
          <w:sz w:val="24"/>
          <w:highlight w:val="none"/>
        </w:rPr>
        <w:t>范围内的</w:t>
      </w:r>
      <w:r>
        <w:rPr>
          <w:rFonts w:hint="eastAsia" w:ascii="宋体" w:hAnsi="宋体"/>
          <w:bCs/>
          <w:sz w:val="24"/>
          <w:highlight w:val="none"/>
        </w:rPr>
        <w:t>项目</w:t>
      </w:r>
      <w:r>
        <w:rPr>
          <w:rFonts w:ascii="宋体" w:hAnsi="宋体"/>
          <w:bCs/>
          <w:sz w:val="24"/>
          <w:highlight w:val="none"/>
        </w:rPr>
        <w:t>享有管理权及服务义务。</w:t>
      </w:r>
    </w:p>
    <w:p>
      <w:pPr>
        <w:numPr>
          <w:ilvl w:val="0"/>
          <w:numId w:val="8"/>
        </w:numPr>
        <w:adjustRightInd w:val="0"/>
        <w:spacing w:line="360" w:lineRule="auto"/>
        <w:ind w:left="0" w:firstLine="567"/>
        <w:jc w:val="left"/>
        <w:textAlignment w:val="baseline"/>
        <w:rPr>
          <w:rFonts w:ascii="宋体" w:hAnsi="宋体"/>
          <w:bCs/>
          <w:sz w:val="24"/>
          <w:highlight w:val="none"/>
        </w:rPr>
      </w:pPr>
      <w:r>
        <w:rPr>
          <w:rFonts w:ascii="宋体" w:hAnsi="宋体"/>
          <w:bCs/>
          <w:sz w:val="24"/>
          <w:highlight w:val="none"/>
        </w:rPr>
        <w:t>根据本合同的规定向甲方收取相关</w:t>
      </w:r>
      <w:r>
        <w:rPr>
          <w:rFonts w:hint="eastAsia" w:ascii="宋体" w:hAnsi="宋体"/>
          <w:bCs/>
          <w:sz w:val="24"/>
          <w:highlight w:val="none"/>
        </w:rPr>
        <w:t>服务</w:t>
      </w:r>
      <w:r>
        <w:rPr>
          <w:rFonts w:ascii="宋体" w:hAnsi="宋体"/>
          <w:bCs/>
          <w:sz w:val="24"/>
          <w:highlight w:val="none"/>
        </w:rPr>
        <w:t>费用，并有权</w:t>
      </w:r>
      <w:r>
        <w:rPr>
          <w:rFonts w:hint="eastAsia" w:ascii="宋体" w:hAnsi="宋体"/>
          <w:bCs/>
          <w:sz w:val="24"/>
          <w:highlight w:val="none"/>
        </w:rPr>
        <w:t>在本项目管理范围内</w:t>
      </w:r>
      <w:r>
        <w:rPr>
          <w:rFonts w:ascii="宋体" w:hAnsi="宋体"/>
          <w:bCs/>
          <w:sz w:val="24"/>
          <w:highlight w:val="none"/>
        </w:rPr>
        <w:t>管理及合理使用。</w:t>
      </w:r>
    </w:p>
    <w:p>
      <w:pPr>
        <w:numPr>
          <w:ilvl w:val="0"/>
          <w:numId w:val="8"/>
        </w:numPr>
        <w:adjustRightInd w:val="0"/>
        <w:spacing w:line="360" w:lineRule="auto"/>
        <w:ind w:left="0" w:firstLine="567"/>
        <w:jc w:val="left"/>
        <w:textAlignment w:val="baseline"/>
        <w:rPr>
          <w:rFonts w:hint="eastAsia" w:ascii="宋体" w:hAnsi="宋体"/>
          <w:bCs/>
          <w:sz w:val="24"/>
          <w:highlight w:val="none"/>
        </w:rPr>
      </w:pPr>
      <w:r>
        <w:rPr>
          <w:rFonts w:hint="eastAsia" w:ascii="宋体" w:hAnsi="宋体"/>
          <w:sz w:val="24"/>
          <w:highlight w:val="none"/>
        </w:rPr>
        <w:t>及时向甲方通告本项目服务范围内有关服务的重大事项，及时配合处理投诉。</w:t>
      </w:r>
    </w:p>
    <w:p>
      <w:pPr>
        <w:numPr>
          <w:ilvl w:val="0"/>
          <w:numId w:val="8"/>
        </w:numPr>
        <w:adjustRightInd w:val="0"/>
        <w:spacing w:line="360" w:lineRule="auto"/>
        <w:ind w:left="0" w:firstLine="567"/>
        <w:jc w:val="left"/>
        <w:textAlignment w:val="baseline"/>
        <w:rPr>
          <w:rFonts w:ascii="宋体" w:hAnsi="宋体"/>
          <w:bCs/>
          <w:sz w:val="24"/>
          <w:highlight w:val="none"/>
        </w:rPr>
      </w:pPr>
      <w:r>
        <w:rPr>
          <w:rFonts w:ascii="宋体" w:hAnsi="宋体"/>
          <w:bCs/>
          <w:sz w:val="24"/>
          <w:highlight w:val="none"/>
        </w:rPr>
        <w:t>接受</w:t>
      </w:r>
      <w:r>
        <w:rPr>
          <w:rFonts w:hint="eastAsia" w:ascii="宋体" w:hAnsi="宋体"/>
          <w:bCs/>
          <w:sz w:val="24"/>
          <w:highlight w:val="none"/>
        </w:rPr>
        <w:t>项目行</w:t>
      </w:r>
      <w:r>
        <w:rPr>
          <w:rFonts w:ascii="宋体" w:hAnsi="宋体"/>
          <w:bCs/>
          <w:sz w:val="24"/>
          <w:highlight w:val="none"/>
        </w:rPr>
        <w:t>业管理部门及政府有关部门的指导，接受甲方的监督。</w:t>
      </w:r>
    </w:p>
    <w:p>
      <w:pPr>
        <w:numPr>
          <w:ilvl w:val="0"/>
          <w:numId w:val="8"/>
        </w:numPr>
        <w:adjustRightInd w:val="0"/>
        <w:spacing w:line="360" w:lineRule="auto"/>
        <w:ind w:left="0" w:firstLine="567"/>
        <w:jc w:val="left"/>
        <w:textAlignment w:val="baseline"/>
        <w:rPr>
          <w:rFonts w:ascii="宋体" w:hAnsi="宋体"/>
          <w:bCs/>
          <w:sz w:val="24"/>
          <w:highlight w:val="none"/>
        </w:rPr>
      </w:pPr>
      <w:r>
        <w:rPr>
          <w:rFonts w:ascii="宋体" w:hAnsi="宋体"/>
          <w:bCs/>
          <w:sz w:val="24"/>
          <w:highlight w:val="none"/>
        </w:rPr>
        <w:t>国家法律、法规所规定由乙方承担的其它责任。</w:t>
      </w:r>
    </w:p>
    <w:p>
      <w:pPr>
        <w:numPr>
          <w:ilvl w:val="0"/>
          <w:numId w:val="2"/>
        </w:numPr>
        <w:spacing w:line="360" w:lineRule="auto"/>
        <w:rPr>
          <w:rFonts w:ascii="宋体" w:hAnsi="宋体"/>
          <w:b/>
          <w:sz w:val="24"/>
          <w:highlight w:val="none"/>
        </w:rPr>
      </w:pPr>
      <w:r>
        <w:rPr>
          <w:rFonts w:ascii="宋体" w:hAnsi="宋体"/>
          <w:b/>
          <w:sz w:val="24"/>
          <w:highlight w:val="none"/>
        </w:rPr>
        <w:t>违约责任</w:t>
      </w:r>
    </w:p>
    <w:p>
      <w:pPr>
        <w:numPr>
          <w:ilvl w:val="0"/>
          <w:numId w:val="9"/>
        </w:numPr>
        <w:adjustRightInd w:val="0"/>
        <w:spacing w:line="360" w:lineRule="auto"/>
        <w:ind w:left="0" w:firstLine="567"/>
        <w:jc w:val="left"/>
        <w:textAlignment w:val="baseline"/>
        <w:rPr>
          <w:rFonts w:ascii="宋体" w:hAnsi="宋体"/>
          <w:bCs/>
          <w:sz w:val="24"/>
          <w:highlight w:val="none"/>
        </w:rPr>
      </w:pPr>
      <w:r>
        <w:rPr>
          <w:rFonts w:ascii="宋体" w:hAnsi="宋体"/>
          <w:bCs/>
          <w:sz w:val="24"/>
          <w:highlight w:val="none"/>
        </w:rPr>
        <w:t>甲乙双方必须遵守本合同并执行合同中的各项规定，保证</w:t>
      </w:r>
      <w:r>
        <w:rPr>
          <w:rFonts w:hint="eastAsia" w:ascii="宋体" w:hAnsi="宋体"/>
          <w:bCs/>
          <w:sz w:val="24"/>
          <w:highlight w:val="none"/>
        </w:rPr>
        <w:t>本</w:t>
      </w:r>
      <w:r>
        <w:rPr>
          <w:rFonts w:ascii="宋体" w:hAnsi="宋体"/>
          <w:bCs/>
          <w:sz w:val="24"/>
          <w:highlight w:val="none"/>
        </w:rPr>
        <w:t>合同的正常</w:t>
      </w:r>
      <w:r>
        <w:rPr>
          <w:rFonts w:hint="eastAsia" w:ascii="宋体" w:hAnsi="宋体"/>
          <w:bCs/>
          <w:sz w:val="24"/>
          <w:highlight w:val="none"/>
        </w:rPr>
        <w:t>履行</w:t>
      </w:r>
      <w:r>
        <w:rPr>
          <w:rFonts w:ascii="宋体" w:hAnsi="宋体"/>
          <w:bCs/>
          <w:sz w:val="24"/>
          <w:highlight w:val="none"/>
        </w:rPr>
        <w:t>。</w:t>
      </w:r>
    </w:p>
    <w:p>
      <w:pPr>
        <w:numPr>
          <w:ilvl w:val="0"/>
          <w:numId w:val="9"/>
        </w:numPr>
        <w:adjustRightInd w:val="0"/>
        <w:spacing w:line="360" w:lineRule="auto"/>
        <w:ind w:left="0" w:firstLine="567"/>
        <w:jc w:val="left"/>
        <w:textAlignment w:val="baseline"/>
        <w:rPr>
          <w:rFonts w:hint="eastAsia" w:ascii="宋体" w:hAnsi="宋体"/>
          <w:bCs/>
          <w:sz w:val="24"/>
          <w:highlight w:val="none"/>
        </w:rPr>
      </w:pPr>
      <w:r>
        <w:rPr>
          <w:rFonts w:ascii="宋体" w:hAnsi="宋体"/>
          <w:bCs/>
          <w:sz w:val="24"/>
          <w:highlight w:val="none"/>
        </w:rPr>
        <w:t>如因乙方</w:t>
      </w:r>
      <w:r>
        <w:rPr>
          <w:rFonts w:hint="eastAsia" w:ascii="宋体" w:hAnsi="宋体"/>
          <w:bCs/>
          <w:sz w:val="24"/>
          <w:highlight w:val="none"/>
        </w:rPr>
        <w:t>工作人员在履行职务过程中</w:t>
      </w:r>
      <w:r>
        <w:rPr>
          <w:rFonts w:ascii="宋体" w:hAnsi="宋体"/>
          <w:bCs/>
          <w:sz w:val="24"/>
          <w:highlight w:val="none"/>
        </w:rPr>
        <w:t>的疏忽、失职、过错等</w:t>
      </w:r>
      <w:r>
        <w:rPr>
          <w:rFonts w:hint="eastAsia" w:ascii="宋体" w:hAnsi="宋体"/>
          <w:bCs/>
          <w:sz w:val="24"/>
          <w:highlight w:val="none"/>
        </w:rPr>
        <w:t>故意或者过失</w:t>
      </w:r>
      <w:r>
        <w:rPr>
          <w:rFonts w:ascii="宋体" w:hAnsi="宋体"/>
          <w:bCs/>
          <w:sz w:val="24"/>
          <w:highlight w:val="none"/>
        </w:rPr>
        <w:t>原因给甲方造成损失或侵害，</w:t>
      </w:r>
      <w:r>
        <w:rPr>
          <w:rFonts w:hint="eastAsia" w:ascii="宋体" w:hAnsi="宋体"/>
          <w:bCs/>
          <w:sz w:val="24"/>
          <w:highlight w:val="none"/>
        </w:rPr>
        <w:t>包括但不限于甲方本身的财产损失、由此而导致的甲方对任何第三方的法律责任等，乙方对此均应承担全部的赔偿责任</w:t>
      </w:r>
      <w:r>
        <w:rPr>
          <w:rFonts w:ascii="宋体" w:hAnsi="宋体"/>
          <w:bCs/>
          <w:sz w:val="24"/>
          <w:highlight w:val="none"/>
        </w:rPr>
        <w:t>。</w:t>
      </w:r>
    </w:p>
    <w:p>
      <w:pPr>
        <w:numPr>
          <w:ilvl w:val="0"/>
          <w:numId w:val="2"/>
        </w:numPr>
        <w:spacing w:line="360" w:lineRule="auto"/>
        <w:rPr>
          <w:rFonts w:hint="eastAsia" w:ascii="宋体" w:hAnsi="宋体"/>
          <w:b/>
          <w:sz w:val="24"/>
          <w:highlight w:val="none"/>
        </w:rPr>
      </w:pPr>
      <w:r>
        <w:rPr>
          <w:rFonts w:hint="eastAsia" w:ascii="宋体" w:hAnsi="宋体"/>
          <w:b/>
          <w:sz w:val="24"/>
          <w:highlight w:val="none"/>
        </w:rPr>
        <w:t>不可抗力事件处理</w:t>
      </w:r>
    </w:p>
    <w:p>
      <w:pPr>
        <w:numPr>
          <w:ilvl w:val="0"/>
          <w:numId w:val="10"/>
        </w:numPr>
        <w:tabs>
          <w:tab w:val="left" w:pos="0"/>
        </w:tabs>
        <w:spacing w:line="360" w:lineRule="auto"/>
        <w:ind w:left="0" w:firstLine="567"/>
        <w:rPr>
          <w:rFonts w:hint="eastAsia" w:ascii="宋体" w:hAnsi="宋体"/>
          <w:sz w:val="24"/>
          <w:highlight w:val="none"/>
        </w:rPr>
      </w:pPr>
      <w:r>
        <w:rPr>
          <w:rFonts w:hint="eastAsia" w:ascii="宋体" w:hAnsi="宋体"/>
          <w:sz w:val="24"/>
          <w:highlight w:val="none"/>
        </w:rPr>
        <w:t>在合同有效期内，任何一方因不可抗力事件导致不能履行合同，则合同履行期可延长，其延长期与不可抗力影响期相同。</w:t>
      </w:r>
    </w:p>
    <w:p>
      <w:pPr>
        <w:numPr>
          <w:ilvl w:val="0"/>
          <w:numId w:val="10"/>
        </w:numPr>
        <w:tabs>
          <w:tab w:val="left" w:pos="0"/>
        </w:tabs>
        <w:spacing w:line="360" w:lineRule="auto"/>
        <w:ind w:left="0" w:firstLine="567"/>
        <w:rPr>
          <w:rFonts w:hint="eastAsia" w:ascii="宋体" w:hAnsi="宋体"/>
          <w:sz w:val="24"/>
          <w:highlight w:val="none"/>
        </w:rPr>
      </w:pPr>
      <w:r>
        <w:rPr>
          <w:rFonts w:hint="eastAsia" w:ascii="宋体" w:hAnsi="宋体"/>
          <w:sz w:val="24"/>
          <w:highlight w:val="none"/>
        </w:rPr>
        <w:t>不可抗力事件发生后，应立即通知对方，并寄送有关权威机构出具的证明。</w:t>
      </w:r>
    </w:p>
    <w:p>
      <w:pPr>
        <w:numPr>
          <w:ilvl w:val="0"/>
          <w:numId w:val="10"/>
        </w:numPr>
        <w:tabs>
          <w:tab w:val="left" w:pos="0"/>
        </w:tabs>
        <w:spacing w:line="360" w:lineRule="auto"/>
        <w:ind w:left="0" w:firstLine="567"/>
        <w:rPr>
          <w:rFonts w:ascii="宋体" w:hAnsi="宋体"/>
          <w:sz w:val="24"/>
          <w:highlight w:val="none"/>
        </w:rPr>
      </w:pPr>
      <w:r>
        <w:rPr>
          <w:rFonts w:hint="eastAsia" w:ascii="宋体" w:hAnsi="宋体"/>
          <w:sz w:val="24"/>
          <w:highlight w:val="none"/>
        </w:rPr>
        <w:t>不可抗力事件延续120天以上，双方应通过友好协商，确定是否继续履行合同。</w:t>
      </w:r>
    </w:p>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Pr>
        <w:numPr>
          <w:ilvl w:val="0"/>
          <w:numId w:val="2"/>
        </w:numPr>
        <w:spacing w:line="360" w:lineRule="auto"/>
        <w:rPr>
          <w:rFonts w:ascii="宋体" w:hAnsi="宋体"/>
          <w:b/>
          <w:sz w:val="24"/>
          <w:highlight w:val="none"/>
        </w:rPr>
      </w:pPr>
      <w:bookmarkStart w:id="177" w:name="_Toc239568423"/>
      <w:bookmarkStart w:id="178" w:name="_Toc239233919"/>
      <w:bookmarkStart w:id="179" w:name="_Toc286993792"/>
      <w:bookmarkStart w:id="180" w:name="_Toc225654649"/>
      <w:bookmarkStart w:id="181" w:name="_Toc225670756"/>
      <w:bookmarkStart w:id="182" w:name="_Toc225244857"/>
      <w:bookmarkStart w:id="183" w:name="_Toc185395254"/>
      <w:bookmarkStart w:id="184" w:name="_Toc238984980"/>
      <w:bookmarkStart w:id="185" w:name="_Toc232492933"/>
      <w:bookmarkStart w:id="186" w:name="_Toc212019599"/>
      <w:bookmarkStart w:id="187" w:name="_Toc241833908"/>
      <w:bookmarkStart w:id="188" w:name="_Toc237145411"/>
      <w:bookmarkStart w:id="189" w:name="_Toc211911353"/>
      <w:bookmarkStart w:id="190" w:name="_Toc211854454"/>
      <w:bookmarkStart w:id="191" w:name="_Toc251768867"/>
      <w:bookmarkStart w:id="192" w:name="_Toc247334846"/>
      <w:r>
        <w:rPr>
          <w:rFonts w:hint="eastAsia" w:ascii="宋体" w:hAnsi="宋体"/>
          <w:b/>
          <w:sz w:val="24"/>
          <w:highlight w:val="none"/>
        </w:rPr>
        <w:t>解</w:t>
      </w:r>
      <w:r>
        <w:rPr>
          <w:rFonts w:ascii="宋体" w:hAnsi="宋体"/>
          <w:b/>
          <w:sz w:val="24"/>
          <w:highlight w:val="none"/>
        </w:rPr>
        <w:t>决合同纠纷的方式</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numPr>
          <w:ilvl w:val="0"/>
          <w:numId w:val="11"/>
        </w:numPr>
        <w:tabs>
          <w:tab w:val="left" w:pos="0"/>
        </w:tabs>
        <w:spacing w:line="360" w:lineRule="auto"/>
        <w:ind w:left="0" w:firstLine="560"/>
        <w:rPr>
          <w:rFonts w:ascii="宋体" w:hAnsi="宋体"/>
          <w:sz w:val="24"/>
          <w:highlight w:val="none"/>
        </w:rPr>
      </w:pPr>
      <w:r>
        <w:rPr>
          <w:rFonts w:ascii="宋体" w:hAnsi="宋体"/>
          <w:sz w:val="24"/>
          <w:highlight w:val="none"/>
        </w:rPr>
        <w:t>在执行本合同中发生的或与本合同有关的争端，双方应通过友好协商解决，经协商在60天内不能达成协议时，应提交成都仲裁委员会仲裁。</w:t>
      </w:r>
    </w:p>
    <w:p>
      <w:pPr>
        <w:numPr>
          <w:ilvl w:val="0"/>
          <w:numId w:val="11"/>
        </w:numPr>
        <w:tabs>
          <w:tab w:val="left" w:pos="0"/>
        </w:tabs>
        <w:spacing w:line="360" w:lineRule="auto"/>
        <w:ind w:left="0" w:firstLine="560"/>
        <w:rPr>
          <w:rFonts w:ascii="宋体" w:hAnsi="宋体"/>
          <w:sz w:val="24"/>
          <w:highlight w:val="none"/>
        </w:rPr>
      </w:pPr>
      <w:r>
        <w:rPr>
          <w:rFonts w:ascii="宋体" w:hAnsi="宋体"/>
          <w:sz w:val="24"/>
          <w:highlight w:val="none"/>
        </w:rPr>
        <w:t>仲裁裁决应为最终决定，并对双方具有约束力。</w:t>
      </w:r>
    </w:p>
    <w:p>
      <w:pPr>
        <w:numPr>
          <w:ilvl w:val="0"/>
          <w:numId w:val="11"/>
        </w:numPr>
        <w:tabs>
          <w:tab w:val="left" w:pos="0"/>
        </w:tabs>
        <w:spacing w:line="360" w:lineRule="auto"/>
        <w:ind w:left="0" w:firstLine="560"/>
        <w:rPr>
          <w:rFonts w:ascii="宋体" w:hAnsi="宋体"/>
          <w:sz w:val="24"/>
          <w:highlight w:val="none"/>
        </w:rPr>
      </w:pPr>
      <w:r>
        <w:rPr>
          <w:rFonts w:ascii="宋体" w:hAnsi="宋体"/>
          <w:sz w:val="24"/>
          <w:highlight w:val="none"/>
        </w:rPr>
        <w:t xml:space="preserve">除另有裁决外，仲裁费应由败诉方负担。 </w:t>
      </w:r>
    </w:p>
    <w:p>
      <w:pPr>
        <w:numPr>
          <w:ilvl w:val="0"/>
          <w:numId w:val="11"/>
        </w:numPr>
        <w:tabs>
          <w:tab w:val="left" w:pos="0"/>
        </w:tabs>
        <w:spacing w:line="360" w:lineRule="auto"/>
        <w:ind w:left="0" w:firstLine="560"/>
        <w:rPr>
          <w:rFonts w:ascii="宋体" w:hAnsi="宋体"/>
          <w:sz w:val="24"/>
          <w:highlight w:val="none"/>
        </w:rPr>
      </w:pPr>
      <w:r>
        <w:rPr>
          <w:rFonts w:ascii="宋体" w:hAnsi="宋体"/>
          <w:sz w:val="24"/>
          <w:highlight w:val="none"/>
        </w:rPr>
        <w:t xml:space="preserve">在仲裁期间，除正在进行仲裁部分外，合同其他部分继续执行。  </w:t>
      </w:r>
    </w:p>
    <w:p>
      <w:pPr>
        <w:numPr>
          <w:ilvl w:val="0"/>
          <w:numId w:val="2"/>
        </w:numPr>
        <w:spacing w:line="360" w:lineRule="auto"/>
        <w:rPr>
          <w:rFonts w:ascii="宋体" w:hAnsi="宋体"/>
          <w:b/>
          <w:sz w:val="24"/>
          <w:highlight w:val="none"/>
        </w:rPr>
      </w:pPr>
      <w:bookmarkStart w:id="193" w:name="_Toc232492934"/>
      <w:bookmarkStart w:id="194" w:name="_Toc225670757"/>
      <w:bookmarkStart w:id="195" w:name="_Toc185395255"/>
      <w:bookmarkStart w:id="196" w:name="_Toc239568424"/>
      <w:bookmarkStart w:id="197" w:name="_Toc211854455"/>
      <w:bookmarkStart w:id="198" w:name="_Toc283019219"/>
      <w:bookmarkStart w:id="199" w:name="_Toc225654650"/>
      <w:bookmarkStart w:id="200" w:name="_Toc212019600"/>
      <w:bookmarkStart w:id="201" w:name="_Toc251768868"/>
      <w:bookmarkStart w:id="202" w:name="_Toc286993793"/>
      <w:bookmarkStart w:id="203" w:name="_Toc247334847"/>
      <w:bookmarkStart w:id="204" w:name="_Toc237145412"/>
      <w:bookmarkStart w:id="205" w:name="_Toc238984981"/>
      <w:bookmarkStart w:id="206" w:name="_Toc282696231"/>
      <w:bookmarkStart w:id="207" w:name="_Toc239233920"/>
      <w:bookmarkStart w:id="208" w:name="_Toc211911354"/>
      <w:bookmarkStart w:id="209" w:name="_Toc241833909"/>
      <w:bookmarkStart w:id="210" w:name="_Toc225244858"/>
      <w:r>
        <w:rPr>
          <w:rFonts w:ascii="宋体" w:hAnsi="宋体"/>
          <w:b/>
          <w:sz w:val="24"/>
          <w:highlight w:val="none"/>
        </w:rPr>
        <w:t>合同</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hint="eastAsia" w:ascii="宋体" w:hAnsi="宋体"/>
          <w:b/>
          <w:sz w:val="24"/>
          <w:highlight w:val="none"/>
        </w:rPr>
        <w:t>生效</w:t>
      </w:r>
    </w:p>
    <w:p>
      <w:pPr>
        <w:pStyle w:val="42"/>
        <w:numPr>
          <w:ilvl w:val="0"/>
          <w:numId w:val="12"/>
        </w:numPr>
        <w:spacing w:line="360" w:lineRule="auto"/>
        <w:ind w:left="0" w:firstLine="630" w:firstLineChars="0"/>
        <w:rPr>
          <w:rFonts w:hint="eastAsia" w:ascii="宋体" w:hAnsi="宋体"/>
          <w:sz w:val="24"/>
          <w:szCs w:val="24"/>
          <w:highlight w:val="none"/>
        </w:rPr>
      </w:pPr>
      <w:r>
        <w:rPr>
          <w:rFonts w:hint="eastAsia" w:ascii="宋体" w:hAnsi="宋体"/>
          <w:sz w:val="24"/>
          <w:szCs w:val="24"/>
          <w:highlight w:val="none"/>
        </w:rPr>
        <w:t>合同经双方法定代表人/单位负责人或授权委托代理人签字并加盖单位公章后生效。</w:t>
      </w:r>
    </w:p>
    <w:p>
      <w:pPr>
        <w:pStyle w:val="42"/>
        <w:numPr>
          <w:ilvl w:val="0"/>
          <w:numId w:val="12"/>
        </w:numPr>
        <w:spacing w:line="360" w:lineRule="auto"/>
        <w:ind w:left="0" w:firstLine="630" w:firstLineChars="0"/>
        <w:rPr>
          <w:rFonts w:ascii="宋体" w:hAnsi="宋体"/>
          <w:sz w:val="24"/>
          <w:szCs w:val="24"/>
          <w:highlight w:val="none"/>
        </w:rPr>
      </w:pPr>
      <w:r>
        <w:rPr>
          <w:rFonts w:hint="eastAsia" w:ascii="宋体" w:hAnsi="宋体"/>
          <w:sz w:val="24"/>
          <w:szCs w:val="24"/>
          <w:highlight w:val="none"/>
        </w:rPr>
        <w:t>合同执行中涉及采购资金和采购内容修改或补充的，须经政府采购监管部门审批，并签书面补充协议报政府采购监督管理部门备案，方可作为主合同不可分割的一部分。</w:t>
      </w:r>
    </w:p>
    <w:p>
      <w:pPr>
        <w:numPr>
          <w:ilvl w:val="0"/>
          <w:numId w:val="2"/>
        </w:numPr>
        <w:spacing w:line="360" w:lineRule="auto"/>
        <w:rPr>
          <w:rFonts w:hint="eastAsia" w:ascii="宋体" w:hAnsi="宋体"/>
          <w:b/>
          <w:sz w:val="24"/>
          <w:highlight w:val="none"/>
        </w:rPr>
      </w:pPr>
      <w:r>
        <w:rPr>
          <w:rFonts w:hint="eastAsia" w:ascii="宋体" w:hAnsi="宋体"/>
          <w:b/>
          <w:sz w:val="24"/>
          <w:highlight w:val="none"/>
        </w:rPr>
        <w:t>附件</w:t>
      </w:r>
    </w:p>
    <w:p>
      <w:pPr>
        <w:pStyle w:val="42"/>
        <w:numPr>
          <w:ilvl w:val="0"/>
          <w:numId w:val="13"/>
        </w:numPr>
        <w:spacing w:line="360" w:lineRule="auto"/>
        <w:ind w:firstLineChars="0"/>
        <w:rPr>
          <w:rFonts w:hint="eastAsia" w:ascii="宋体" w:hAnsi="宋体"/>
          <w:sz w:val="24"/>
          <w:szCs w:val="24"/>
          <w:highlight w:val="none"/>
        </w:rPr>
      </w:pPr>
      <w:r>
        <w:rPr>
          <w:rFonts w:hint="eastAsia" w:ascii="宋体" w:hAnsi="宋体"/>
          <w:sz w:val="24"/>
          <w:szCs w:val="24"/>
          <w:highlight w:val="none"/>
        </w:rPr>
        <w:t>项目比选文件</w:t>
      </w:r>
    </w:p>
    <w:p>
      <w:pPr>
        <w:pStyle w:val="42"/>
        <w:numPr>
          <w:ilvl w:val="0"/>
          <w:numId w:val="13"/>
        </w:numPr>
        <w:spacing w:line="360" w:lineRule="auto"/>
        <w:ind w:firstLineChars="0"/>
        <w:rPr>
          <w:rFonts w:hint="eastAsia" w:ascii="宋体" w:hAnsi="宋体"/>
          <w:sz w:val="24"/>
          <w:szCs w:val="24"/>
          <w:highlight w:val="none"/>
        </w:rPr>
      </w:pPr>
      <w:r>
        <w:rPr>
          <w:rFonts w:hint="eastAsia" w:ascii="宋体" w:hAnsi="宋体"/>
          <w:sz w:val="24"/>
          <w:szCs w:val="24"/>
          <w:highlight w:val="none"/>
        </w:rPr>
        <w:t>项目修改澄清文件</w:t>
      </w:r>
    </w:p>
    <w:p>
      <w:pPr>
        <w:pStyle w:val="42"/>
        <w:numPr>
          <w:ilvl w:val="0"/>
          <w:numId w:val="13"/>
        </w:numPr>
        <w:spacing w:line="360" w:lineRule="auto"/>
        <w:ind w:firstLineChars="0"/>
        <w:rPr>
          <w:rFonts w:hint="eastAsia" w:ascii="宋体" w:hAnsi="宋体"/>
          <w:sz w:val="24"/>
          <w:szCs w:val="24"/>
          <w:highlight w:val="none"/>
        </w:rPr>
      </w:pPr>
      <w:r>
        <w:rPr>
          <w:rFonts w:hint="eastAsia" w:ascii="宋体" w:hAnsi="宋体"/>
          <w:sz w:val="24"/>
          <w:szCs w:val="24"/>
          <w:highlight w:val="none"/>
        </w:rPr>
        <w:t>项目比选</w:t>
      </w:r>
      <w:r>
        <w:rPr>
          <w:rFonts w:hint="eastAsia" w:ascii="宋体" w:hAnsi="宋体"/>
          <w:sz w:val="24"/>
          <w:szCs w:val="24"/>
          <w:highlight w:val="none"/>
          <w:lang w:eastAsia="zh-CN"/>
        </w:rPr>
        <w:t>申请</w:t>
      </w:r>
      <w:r>
        <w:rPr>
          <w:rFonts w:hint="eastAsia" w:ascii="宋体" w:hAnsi="宋体"/>
          <w:sz w:val="24"/>
          <w:szCs w:val="24"/>
          <w:highlight w:val="none"/>
        </w:rPr>
        <w:t>文件</w:t>
      </w:r>
    </w:p>
    <w:p>
      <w:pPr>
        <w:pStyle w:val="42"/>
        <w:numPr>
          <w:ilvl w:val="0"/>
          <w:numId w:val="13"/>
        </w:numPr>
        <w:spacing w:line="360" w:lineRule="auto"/>
        <w:ind w:firstLineChars="0"/>
        <w:rPr>
          <w:rFonts w:hint="eastAsia" w:ascii="宋体" w:hAnsi="宋体"/>
          <w:sz w:val="24"/>
          <w:szCs w:val="24"/>
          <w:highlight w:val="none"/>
        </w:rPr>
      </w:pPr>
      <w:r>
        <w:rPr>
          <w:rFonts w:hint="eastAsia" w:ascii="宋体" w:hAnsi="宋体"/>
          <w:sz w:val="24"/>
          <w:szCs w:val="24"/>
          <w:highlight w:val="none"/>
        </w:rPr>
        <w:t>其他</w:t>
      </w:r>
    </w:p>
    <w:bookmarkEnd w:id="158"/>
    <w:p>
      <w:pPr>
        <w:numPr>
          <w:ilvl w:val="0"/>
          <w:numId w:val="2"/>
        </w:numPr>
        <w:spacing w:line="360" w:lineRule="auto"/>
        <w:rPr>
          <w:rFonts w:hint="eastAsia" w:ascii="宋体" w:hAnsi="宋体"/>
          <w:b/>
          <w:sz w:val="24"/>
          <w:highlight w:val="none"/>
        </w:rPr>
      </w:pPr>
      <w:r>
        <w:rPr>
          <w:rFonts w:hint="eastAsia" w:ascii="宋体" w:hAnsi="宋体"/>
          <w:b/>
          <w:sz w:val="24"/>
          <w:highlight w:val="none"/>
        </w:rPr>
        <w:t>其他</w:t>
      </w:r>
    </w:p>
    <w:p>
      <w:pPr>
        <w:pStyle w:val="48"/>
        <w:ind w:firstLine="480"/>
        <w:rPr>
          <w:rFonts w:hint="eastAsia" w:ascii="宋体"/>
          <w:highlight w:val="none"/>
        </w:rPr>
      </w:pPr>
      <w:r>
        <w:rPr>
          <w:rFonts w:hint="eastAsia" w:ascii="宋体"/>
          <w:highlight w:val="none"/>
        </w:rPr>
        <w:t>1、如有未尽事宜，由双方依法订立补充合同。</w:t>
      </w:r>
    </w:p>
    <w:p>
      <w:pPr>
        <w:pStyle w:val="48"/>
        <w:ind w:firstLine="480"/>
        <w:rPr>
          <w:rFonts w:hint="eastAsia" w:ascii="宋体"/>
          <w:highlight w:val="none"/>
        </w:rPr>
      </w:pPr>
      <w:r>
        <w:rPr>
          <w:rFonts w:hint="eastAsia" w:ascii="宋体"/>
          <w:highlight w:val="none"/>
        </w:rPr>
        <w:t>2、本合同一式六份，自双方签章之日起生效。甲方三份，乙方、政府采购管理部门、采购代理机构各一份。</w:t>
      </w:r>
    </w:p>
    <w:p>
      <w:pPr>
        <w:spacing w:line="400" w:lineRule="exact"/>
        <w:rPr>
          <w:rFonts w:hint="eastAsia" w:ascii="宋体"/>
          <w:sz w:val="24"/>
          <w:highlight w:val="none"/>
        </w:rPr>
      </w:pPr>
    </w:p>
    <w:p>
      <w:pPr>
        <w:spacing w:line="400" w:lineRule="exact"/>
        <w:ind w:firstLine="480" w:firstLineChars="200"/>
        <w:rPr>
          <w:rFonts w:hint="eastAsia" w:ascii="宋体"/>
          <w:sz w:val="24"/>
          <w:highlight w:val="none"/>
        </w:rPr>
      </w:pPr>
      <w:r>
        <w:rPr>
          <w:rFonts w:hint="eastAsia" w:ascii="宋体"/>
          <w:sz w:val="24"/>
          <w:highlight w:val="none"/>
        </w:rPr>
        <w:t xml:space="preserve">甲方：   （盖章）   </w:t>
      </w:r>
      <w:r>
        <w:rPr>
          <w:rFonts w:hint="eastAsia" w:ascii="宋体"/>
          <w:sz w:val="24"/>
          <w:highlight w:val="none"/>
        </w:rPr>
        <w:tab/>
      </w:r>
      <w:r>
        <w:rPr>
          <w:rFonts w:hint="eastAsia" w:ascii="宋体"/>
          <w:sz w:val="24"/>
          <w:highlight w:val="none"/>
        </w:rPr>
        <w:tab/>
      </w:r>
      <w:r>
        <w:rPr>
          <w:rFonts w:hint="eastAsia" w:ascii="宋体"/>
          <w:sz w:val="24"/>
          <w:highlight w:val="none"/>
        </w:rPr>
        <w:tab/>
      </w:r>
      <w:r>
        <w:rPr>
          <w:rFonts w:hint="eastAsia" w:ascii="宋体"/>
          <w:sz w:val="24"/>
          <w:highlight w:val="none"/>
        </w:rPr>
        <w:t xml:space="preserve">       乙方：   （盖章）</w:t>
      </w:r>
    </w:p>
    <w:p>
      <w:pPr>
        <w:spacing w:line="400" w:lineRule="exact"/>
        <w:ind w:firstLine="480" w:firstLineChars="200"/>
        <w:rPr>
          <w:rFonts w:hint="eastAsia" w:ascii="宋体"/>
          <w:sz w:val="24"/>
          <w:highlight w:val="none"/>
        </w:rPr>
      </w:pPr>
      <w:r>
        <w:rPr>
          <w:rFonts w:hint="eastAsia" w:ascii="宋体"/>
          <w:sz w:val="24"/>
          <w:highlight w:val="none"/>
        </w:rPr>
        <w:t>法定代表人/单位负责人（授权代表）：            法定代表人/单位负责人（授权代表）：</w:t>
      </w:r>
    </w:p>
    <w:p>
      <w:pPr>
        <w:spacing w:line="400" w:lineRule="exact"/>
        <w:ind w:firstLine="480" w:firstLineChars="200"/>
        <w:rPr>
          <w:rFonts w:hint="eastAsia" w:ascii="宋体"/>
          <w:sz w:val="24"/>
          <w:highlight w:val="none"/>
        </w:rPr>
      </w:pPr>
      <w:r>
        <w:rPr>
          <w:rFonts w:hint="eastAsia" w:ascii="宋体"/>
          <w:sz w:val="24"/>
          <w:highlight w:val="none"/>
        </w:rPr>
        <w:t>地    址：                         地    址：</w:t>
      </w:r>
    </w:p>
    <w:p>
      <w:pPr>
        <w:spacing w:line="400" w:lineRule="exact"/>
        <w:ind w:firstLine="480" w:firstLineChars="200"/>
        <w:rPr>
          <w:rFonts w:hint="eastAsia" w:ascii="宋体"/>
          <w:sz w:val="24"/>
          <w:highlight w:val="none"/>
        </w:rPr>
      </w:pPr>
      <w:r>
        <w:rPr>
          <w:rFonts w:hint="eastAsia" w:ascii="宋体"/>
          <w:sz w:val="24"/>
          <w:highlight w:val="none"/>
        </w:rPr>
        <w:t>开户银行：                         开户银行：</w:t>
      </w:r>
    </w:p>
    <w:p>
      <w:pPr>
        <w:spacing w:line="400" w:lineRule="exact"/>
        <w:ind w:firstLine="480" w:firstLineChars="200"/>
        <w:rPr>
          <w:rFonts w:hint="eastAsia" w:ascii="宋体"/>
          <w:sz w:val="24"/>
          <w:highlight w:val="none"/>
        </w:rPr>
      </w:pPr>
      <w:r>
        <w:rPr>
          <w:rFonts w:hint="eastAsia" w:ascii="宋体"/>
          <w:sz w:val="24"/>
          <w:highlight w:val="none"/>
        </w:rPr>
        <w:t>账号：                             账号：</w:t>
      </w:r>
    </w:p>
    <w:p>
      <w:pPr>
        <w:spacing w:line="400" w:lineRule="exact"/>
        <w:ind w:firstLine="480" w:firstLineChars="200"/>
        <w:rPr>
          <w:rFonts w:hint="eastAsia" w:ascii="宋体"/>
          <w:sz w:val="24"/>
          <w:highlight w:val="none"/>
        </w:rPr>
      </w:pPr>
      <w:r>
        <w:rPr>
          <w:rFonts w:hint="eastAsia" w:ascii="宋体"/>
          <w:sz w:val="24"/>
          <w:highlight w:val="none"/>
        </w:rPr>
        <w:t>电    话：                         电    话：</w:t>
      </w:r>
    </w:p>
    <w:p>
      <w:pPr>
        <w:spacing w:line="400" w:lineRule="exact"/>
        <w:ind w:firstLine="480" w:firstLineChars="200"/>
        <w:rPr>
          <w:rFonts w:hint="eastAsia" w:ascii="宋体"/>
          <w:sz w:val="24"/>
          <w:highlight w:val="none"/>
        </w:rPr>
      </w:pPr>
      <w:r>
        <w:rPr>
          <w:rFonts w:hint="eastAsia" w:ascii="宋体"/>
          <w:sz w:val="24"/>
          <w:highlight w:val="none"/>
        </w:rPr>
        <w:t>传    真：                         传    真：</w:t>
      </w:r>
    </w:p>
    <w:p>
      <w:pPr>
        <w:spacing w:line="400" w:lineRule="exact"/>
        <w:ind w:firstLine="420" w:firstLineChars="200"/>
        <w:rPr>
          <w:rFonts w:hint="eastAsia"/>
          <w:szCs w:val="21"/>
          <w:highlight w:val="none"/>
        </w:rPr>
      </w:pPr>
      <w:r>
        <w:rPr>
          <w:rFonts w:hint="eastAsia"/>
          <w:highlight w:val="none"/>
        </w:rPr>
        <w:t>签约日期：</w:t>
      </w:r>
      <w:r>
        <w:rPr>
          <w:rFonts w:hint="eastAsia"/>
          <w:szCs w:val="21"/>
          <w:highlight w:val="none"/>
        </w:rPr>
        <w:t>XX</w:t>
      </w:r>
      <w:r>
        <w:rPr>
          <w:rFonts w:hint="eastAsia"/>
          <w:highlight w:val="none"/>
        </w:rPr>
        <w:t>年</w:t>
      </w:r>
      <w:r>
        <w:rPr>
          <w:rFonts w:hint="eastAsia"/>
          <w:szCs w:val="21"/>
          <w:highlight w:val="none"/>
        </w:rPr>
        <w:t>XX</w:t>
      </w:r>
      <w:r>
        <w:rPr>
          <w:rFonts w:hint="eastAsia"/>
          <w:highlight w:val="none"/>
        </w:rPr>
        <w:t>月</w:t>
      </w:r>
      <w:r>
        <w:rPr>
          <w:rFonts w:hint="eastAsia"/>
          <w:szCs w:val="21"/>
          <w:highlight w:val="none"/>
        </w:rPr>
        <w:t>XX</w:t>
      </w:r>
      <w:r>
        <w:rPr>
          <w:rFonts w:hint="eastAsia"/>
          <w:highlight w:val="none"/>
        </w:rPr>
        <w:t xml:space="preserve">日 </w:t>
      </w:r>
      <w:r>
        <w:rPr>
          <w:rFonts w:hint="eastAsia"/>
          <w:highlight w:val="none"/>
        </w:rPr>
        <w:tab/>
      </w:r>
      <w:r>
        <w:rPr>
          <w:rFonts w:hint="eastAsia"/>
          <w:highlight w:val="none"/>
        </w:rPr>
        <w:tab/>
      </w:r>
      <w:r>
        <w:rPr>
          <w:rFonts w:hint="eastAsia"/>
          <w:highlight w:val="none"/>
        </w:rPr>
        <w:tab/>
      </w:r>
      <w:r>
        <w:rPr>
          <w:rFonts w:hint="eastAsia"/>
          <w:highlight w:val="none"/>
        </w:rPr>
        <w:t>签约日期：</w:t>
      </w:r>
      <w:r>
        <w:rPr>
          <w:rFonts w:hint="eastAsia"/>
          <w:szCs w:val="21"/>
          <w:highlight w:val="none"/>
        </w:rPr>
        <w:t>XX</w:t>
      </w:r>
      <w:r>
        <w:rPr>
          <w:rFonts w:hint="eastAsia"/>
          <w:highlight w:val="none"/>
        </w:rPr>
        <w:t>年</w:t>
      </w:r>
      <w:r>
        <w:rPr>
          <w:rFonts w:hint="eastAsia"/>
          <w:szCs w:val="21"/>
          <w:highlight w:val="none"/>
        </w:rPr>
        <w:t>XX</w:t>
      </w:r>
      <w:r>
        <w:rPr>
          <w:rFonts w:hint="eastAsia"/>
          <w:highlight w:val="none"/>
        </w:rPr>
        <w:t>月</w:t>
      </w:r>
      <w:r>
        <w:rPr>
          <w:rFonts w:hint="eastAsia"/>
          <w:szCs w:val="21"/>
          <w:highlight w:val="none"/>
        </w:rPr>
        <w:t>XX日</w:t>
      </w:r>
    </w:p>
    <w:p>
      <w:pPr>
        <w:spacing w:line="360" w:lineRule="auto"/>
        <w:rPr>
          <w:rFonts w:hint="eastAsia" w:ascii="宋体"/>
          <w:sz w:val="24"/>
          <w:highlight w:val="none"/>
        </w:rPr>
      </w:pPr>
    </w:p>
    <w:sectPr>
      <w:footerReference r:id="rId6"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Eʩ">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jc w:val="center"/>
      <w:rPr>
        <w:rStyle w:val="28"/>
      </w:rPr>
    </w:pPr>
    <w:r>
      <w:fldChar w:fldCharType="begin"/>
    </w:r>
    <w:r>
      <w:rPr>
        <w:rStyle w:val="28"/>
      </w:rPr>
      <w:instrText xml:space="preserve">PAGE  </w:instrText>
    </w:r>
    <w:r>
      <w:fldChar w:fldCharType="separate"/>
    </w:r>
    <w:r>
      <w:rPr>
        <w:rStyle w:val="28"/>
      </w:rPr>
      <w:t>19</w:t>
    </w:r>
    <w:r>
      <w:fldChar w:fldCharType="end"/>
    </w:r>
  </w:p>
  <w:p>
    <w:pPr>
      <w:pStyle w:val="16"/>
      <w:framePr w:wrap="around" w:vAnchor="text" w:hAnchor="margin" w:xAlign="center" w:y="1"/>
      <w:rPr>
        <w:rStyle w:val="28"/>
        <w:rFonts w:hint="eastAsia"/>
      </w:rPr>
    </w:pPr>
  </w:p>
  <w:p>
    <w:pPr>
      <w:pStyle w:val="16"/>
      <w:framePr w:wrap="around" w:vAnchor="text" w:hAnchor="margin" w:xAlign="center" w:y="1"/>
      <w:rPr>
        <w:rStyle w:val="28"/>
        <w:rFonts w:hint="eastAsia"/>
      </w:rPr>
    </w:pPr>
  </w:p>
  <w:p>
    <w:pPr>
      <w:pStyle w:val="16"/>
      <w:framePr w:wrap="around" w:vAnchor="text" w:hAnchor="margin" w:xAlign="center" w:y="1"/>
      <w:rPr>
        <w:rStyle w:val="28"/>
        <w:rFonts w:hint="eastAsia"/>
      </w:rP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 xml:space="preserve"> </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jc w:val="center"/>
      <w:rPr>
        <w:rStyle w:val="28"/>
      </w:rPr>
    </w:pPr>
    <w:r>
      <w:fldChar w:fldCharType="begin"/>
    </w:r>
    <w:r>
      <w:rPr>
        <w:rStyle w:val="28"/>
      </w:rPr>
      <w:instrText xml:space="preserve">PAGE  </w:instrText>
    </w:r>
    <w:r>
      <w:fldChar w:fldCharType="separate"/>
    </w:r>
    <w:r>
      <w:rPr>
        <w:rStyle w:val="28"/>
      </w:rPr>
      <w:t>43</w:t>
    </w:r>
    <w:r>
      <w:fldChar w:fldCharType="end"/>
    </w:r>
  </w:p>
  <w:p>
    <w:pPr>
      <w:pStyle w:val="16"/>
      <w:framePr w:wrap="around" w:vAnchor="text" w:hAnchor="margin" w:xAlign="center" w:y="1"/>
      <w:rPr>
        <w:rStyle w:val="28"/>
      </w:rPr>
    </w:pPr>
  </w:p>
  <w:p>
    <w:pPr>
      <w:pStyle w:val="16"/>
      <w:framePr w:wrap="around" w:vAnchor="text" w:hAnchor="margin" w:xAlign="center" w:y="1"/>
      <w:rPr>
        <w:rStyle w:val="28"/>
      </w:rPr>
    </w:pPr>
  </w:p>
  <w:p>
    <w:pPr>
      <w:pStyle w:val="16"/>
      <w:framePr w:wrap="around" w:vAnchor="text" w:hAnchor="margin" w:xAlign="center" w:y="1"/>
      <w:rPr>
        <w:rStyle w:val="28"/>
      </w:rPr>
    </w:pP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0000001"/>
    <w:multiLevelType w:val="multilevel"/>
    <w:tmpl w:val="00000001"/>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2"/>
    <w:multiLevelType w:val="multilevel"/>
    <w:tmpl w:val="00000002"/>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6"/>
    <w:multiLevelType w:val="multilevel"/>
    <w:tmpl w:val="00000006"/>
    <w:lvl w:ilvl="0" w:tentative="0">
      <w:start w:val="1"/>
      <w:numFmt w:val="decimal"/>
      <w:suff w:val="nothing"/>
      <w:lvlText w:val="%1."/>
      <w:lvlJc w:val="left"/>
      <w:pPr>
        <w:ind w:left="986" w:hanging="420"/>
      </w:pPr>
      <w:rPr>
        <w:rFonts w:hint="eastAsia"/>
      </w:rPr>
    </w:lvl>
    <w:lvl w:ilvl="1" w:tentative="0">
      <w:start w:val="1"/>
      <w:numFmt w:val="lowerLetter"/>
      <w:lvlText w:val="%2)"/>
      <w:lvlJc w:val="left"/>
      <w:pPr>
        <w:ind w:left="1596" w:hanging="420"/>
      </w:pPr>
    </w:lvl>
    <w:lvl w:ilvl="2" w:tentative="0">
      <w:start w:val="1"/>
      <w:numFmt w:val="lowerRoman"/>
      <w:lvlText w:val="%3."/>
      <w:lvlJc w:val="right"/>
      <w:pPr>
        <w:ind w:left="2016" w:hanging="420"/>
      </w:pPr>
    </w:lvl>
    <w:lvl w:ilvl="3" w:tentative="0">
      <w:start w:val="1"/>
      <w:numFmt w:val="decimal"/>
      <w:lvlText w:val="%4."/>
      <w:lvlJc w:val="left"/>
      <w:pPr>
        <w:ind w:left="2436" w:hanging="420"/>
      </w:pPr>
    </w:lvl>
    <w:lvl w:ilvl="4" w:tentative="0">
      <w:start w:val="1"/>
      <w:numFmt w:val="lowerLetter"/>
      <w:lvlText w:val="%5)"/>
      <w:lvlJc w:val="left"/>
      <w:pPr>
        <w:ind w:left="2856" w:hanging="420"/>
      </w:pPr>
    </w:lvl>
    <w:lvl w:ilvl="5" w:tentative="0">
      <w:start w:val="1"/>
      <w:numFmt w:val="lowerRoman"/>
      <w:lvlText w:val="%6."/>
      <w:lvlJc w:val="right"/>
      <w:pPr>
        <w:ind w:left="3276" w:hanging="420"/>
      </w:pPr>
    </w:lvl>
    <w:lvl w:ilvl="6" w:tentative="0">
      <w:start w:val="1"/>
      <w:numFmt w:val="decimal"/>
      <w:lvlText w:val="%7."/>
      <w:lvlJc w:val="left"/>
      <w:pPr>
        <w:ind w:left="3696" w:hanging="420"/>
      </w:pPr>
    </w:lvl>
    <w:lvl w:ilvl="7" w:tentative="0">
      <w:start w:val="1"/>
      <w:numFmt w:val="lowerLetter"/>
      <w:lvlText w:val="%8)"/>
      <w:lvlJc w:val="left"/>
      <w:pPr>
        <w:ind w:left="4116" w:hanging="420"/>
      </w:pPr>
    </w:lvl>
    <w:lvl w:ilvl="8" w:tentative="0">
      <w:start w:val="1"/>
      <w:numFmt w:val="lowerRoman"/>
      <w:lvlText w:val="%9."/>
      <w:lvlJc w:val="right"/>
      <w:pPr>
        <w:ind w:left="4536" w:hanging="420"/>
      </w:pPr>
    </w:lvl>
  </w:abstractNum>
  <w:abstractNum w:abstractNumId="4">
    <w:nsid w:val="00000007"/>
    <w:multiLevelType w:val="multilevel"/>
    <w:tmpl w:val="00000007"/>
    <w:lvl w:ilvl="0" w:tentative="0">
      <w:start w:val="1"/>
      <w:numFmt w:val="decimal"/>
      <w:suff w:val="nothing"/>
      <w:lvlText w:val="%1."/>
      <w:lvlJc w:val="left"/>
      <w:pPr>
        <w:ind w:left="1406"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8"/>
    <w:multiLevelType w:val="multilevel"/>
    <w:tmpl w:val="00000008"/>
    <w:lvl w:ilvl="0" w:tentative="0">
      <w:start w:val="1"/>
      <w:numFmt w:val="decimal"/>
      <w:suff w:val="nothing"/>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D"/>
    <w:multiLevelType w:val="multilevel"/>
    <w:tmpl w:val="0000000D"/>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0000011"/>
    <w:multiLevelType w:val="multilevel"/>
    <w:tmpl w:val="00000011"/>
    <w:lvl w:ilvl="0" w:tentative="0">
      <w:start w:val="1"/>
      <w:numFmt w:val="decimal"/>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2"/>
    <w:multiLevelType w:val="singleLevel"/>
    <w:tmpl w:val="00000012"/>
    <w:lvl w:ilvl="0" w:tentative="0">
      <w:start w:val="1"/>
      <w:numFmt w:val="japaneseCounting"/>
      <w:lvlText w:val="第%1条"/>
      <w:lvlJc w:val="left"/>
      <w:pPr>
        <w:tabs>
          <w:tab w:val="left" w:pos="1521"/>
        </w:tabs>
        <w:ind w:left="1521" w:hanging="1095"/>
      </w:pPr>
      <w:rPr>
        <w:rFonts w:hint="eastAsia"/>
      </w:rPr>
    </w:lvl>
  </w:abstractNum>
  <w:abstractNum w:abstractNumId="9">
    <w:nsid w:val="00000013"/>
    <w:multiLevelType w:val="multilevel"/>
    <w:tmpl w:val="00000013"/>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0">
    <w:nsid w:val="00000014"/>
    <w:multiLevelType w:val="multilevel"/>
    <w:tmpl w:val="00000014"/>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16"/>
    <w:multiLevelType w:val="multilevel"/>
    <w:tmpl w:val="00000016"/>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2">
    <w:nsid w:val="587D89C6"/>
    <w:multiLevelType w:val="singleLevel"/>
    <w:tmpl w:val="587D89C6"/>
    <w:lvl w:ilvl="0" w:tentative="0">
      <w:start w:val="1"/>
      <w:numFmt w:val="decimal"/>
      <w:suff w:val="nothing"/>
      <w:lvlText w:val="%1、"/>
      <w:lvlJc w:val="left"/>
    </w:lvl>
  </w:abstractNum>
  <w:num w:numId="1">
    <w:abstractNumId w:val="12"/>
  </w:num>
  <w:num w:numId="2">
    <w:abstractNumId w:val="8"/>
  </w:num>
  <w:num w:numId="3">
    <w:abstractNumId w:val="7"/>
  </w:num>
  <w:num w:numId="4">
    <w:abstractNumId w:val="10"/>
  </w:num>
  <w:num w:numId="5">
    <w:abstractNumId w:val="9"/>
  </w:num>
  <w:num w:numId="6">
    <w:abstractNumId w:val="3"/>
  </w:num>
  <w:num w:numId="7">
    <w:abstractNumId w:val="1"/>
  </w:num>
  <w:num w:numId="8">
    <w:abstractNumId w:val="6"/>
  </w:num>
  <w:num w:numId="9">
    <w:abstractNumId w:val="4"/>
  </w:num>
  <w:num w:numId="10">
    <w:abstractNumId w:val="5"/>
  </w:num>
  <w:num w:numId="11">
    <w:abstractNumId w:val="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3D"/>
    <w:rsid w:val="000563BD"/>
    <w:rsid w:val="00065765"/>
    <w:rsid w:val="000A2C8E"/>
    <w:rsid w:val="000A70F2"/>
    <w:rsid w:val="000B7A4E"/>
    <w:rsid w:val="000C6178"/>
    <w:rsid w:val="000C6FE5"/>
    <w:rsid w:val="000E2A2A"/>
    <w:rsid w:val="000E2C0F"/>
    <w:rsid w:val="000F787E"/>
    <w:rsid w:val="0010708A"/>
    <w:rsid w:val="00114138"/>
    <w:rsid w:val="001A6131"/>
    <w:rsid w:val="001C3750"/>
    <w:rsid w:val="001C56D1"/>
    <w:rsid w:val="001E315F"/>
    <w:rsid w:val="001E6848"/>
    <w:rsid w:val="002105A4"/>
    <w:rsid w:val="002415D1"/>
    <w:rsid w:val="00242EB7"/>
    <w:rsid w:val="00272EA9"/>
    <w:rsid w:val="002B6917"/>
    <w:rsid w:val="002D690D"/>
    <w:rsid w:val="002F0AD9"/>
    <w:rsid w:val="003224AB"/>
    <w:rsid w:val="00334644"/>
    <w:rsid w:val="0034335A"/>
    <w:rsid w:val="003B6EFF"/>
    <w:rsid w:val="003C7D3D"/>
    <w:rsid w:val="003D4595"/>
    <w:rsid w:val="003F5362"/>
    <w:rsid w:val="00445E84"/>
    <w:rsid w:val="00457FC4"/>
    <w:rsid w:val="004864A2"/>
    <w:rsid w:val="00494A27"/>
    <w:rsid w:val="004959A2"/>
    <w:rsid w:val="004A51A7"/>
    <w:rsid w:val="004A555E"/>
    <w:rsid w:val="004A5C14"/>
    <w:rsid w:val="004E288C"/>
    <w:rsid w:val="005254EF"/>
    <w:rsid w:val="00530F44"/>
    <w:rsid w:val="0053719C"/>
    <w:rsid w:val="005610FD"/>
    <w:rsid w:val="00562558"/>
    <w:rsid w:val="005D1951"/>
    <w:rsid w:val="005F35A8"/>
    <w:rsid w:val="00614E6D"/>
    <w:rsid w:val="00631CCC"/>
    <w:rsid w:val="00632A0D"/>
    <w:rsid w:val="00643DCD"/>
    <w:rsid w:val="006A190B"/>
    <w:rsid w:val="006F353F"/>
    <w:rsid w:val="0071761B"/>
    <w:rsid w:val="007237B1"/>
    <w:rsid w:val="007A683D"/>
    <w:rsid w:val="007E2A6D"/>
    <w:rsid w:val="007E4785"/>
    <w:rsid w:val="00822EC0"/>
    <w:rsid w:val="008673CD"/>
    <w:rsid w:val="00884337"/>
    <w:rsid w:val="00893DAE"/>
    <w:rsid w:val="008A6430"/>
    <w:rsid w:val="008B42F4"/>
    <w:rsid w:val="008C2523"/>
    <w:rsid w:val="008C59F1"/>
    <w:rsid w:val="008E680B"/>
    <w:rsid w:val="008F104D"/>
    <w:rsid w:val="008F1318"/>
    <w:rsid w:val="008F3EC5"/>
    <w:rsid w:val="0097486F"/>
    <w:rsid w:val="00981C7A"/>
    <w:rsid w:val="00987ED4"/>
    <w:rsid w:val="00993B40"/>
    <w:rsid w:val="009A4099"/>
    <w:rsid w:val="009A4C8A"/>
    <w:rsid w:val="009B4EC9"/>
    <w:rsid w:val="00A21165"/>
    <w:rsid w:val="00A36276"/>
    <w:rsid w:val="00A71619"/>
    <w:rsid w:val="00AA14B8"/>
    <w:rsid w:val="00AC447E"/>
    <w:rsid w:val="00AE16DC"/>
    <w:rsid w:val="00AE6A84"/>
    <w:rsid w:val="00B142F6"/>
    <w:rsid w:val="00B23B0B"/>
    <w:rsid w:val="00B3621D"/>
    <w:rsid w:val="00B61283"/>
    <w:rsid w:val="00B63F17"/>
    <w:rsid w:val="00B80536"/>
    <w:rsid w:val="00B878B9"/>
    <w:rsid w:val="00BD55E5"/>
    <w:rsid w:val="00BE22C6"/>
    <w:rsid w:val="00BF7BC6"/>
    <w:rsid w:val="00C056AE"/>
    <w:rsid w:val="00C06829"/>
    <w:rsid w:val="00C338C2"/>
    <w:rsid w:val="00C34C67"/>
    <w:rsid w:val="00C4464F"/>
    <w:rsid w:val="00C611CB"/>
    <w:rsid w:val="00C67AAD"/>
    <w:rsid w:val="00C7338D"/>
    <w:rsid w:val="00C75C30"/>
    <w:rsid w:val="00C83879"/>
    <w:rsid w:val="00CA1675"/>
    <w:rsid w:val="00D41247"/>
    <w:rsid w:val="00D805D4"/>
    <w:rsid w:val="00DD2A8F"/>
    <w:rsid w:val="00DD3648"/>
    <w:rsid w:val="00E01326"/>
    <w:rsid w:val="00E1380C"/>
    <w:rsid w:val="00E258C6"/>
    <w:rsid w:val="00E97247"/>
    <w:rsid w:val="00ED478B"/>
    <w:rsid w:val="00F75689"/>
    <w:rsid w:val="00FB0139"/>
    <w:rsid w:val="00FB3472"/>
    <w:rsid w:val="00FC5AC5"/>
    <w:rsid w:val="00FC75AE"/>
    <w:rsid w:val="0457557B"/>
    <w:rsid w:val="04AA04D0"/>
    <w:rsid w:val="0662250D"/>
    <w:rsid w:val="06C9311C"/>
    <w:rsid w:val="07EF62A2"/>
    <w:rsid w:val="07FF18AF"/>
    <w:rsid w:val="091F28F6"/>
    <w:rsid w:val="0968446C"/>
    <w:rsid w:val="09880AD8"/>
    <w:rsid w:val="0A7F0FE3"/>
    <w:rsid w:val="0DFD2365"/>
    <w:rsid w:val="0EE15330"/>
    <w:rsid w:val="0F204EED"/>
    <w:rsid w:val="0FDB64A4"/>
    <w:rsid w:val="0FEBEBF6"/>
    <w:rsid w:val="0FFE0B2E"/>
    <w:rsid w:val="10B71210"/>
    <w:rsid w:val="150D6DB9"/>
    <w:rsid w:val="151C338A"/>
    <w:rsid w:val="16421AC3"/>
    <w:rsid w:val="164973BC"/>
    <w:rsid w:val="16A41792"/>
    <w:rsid w:val="173D66F2"/>
    <w:rsid w:val="17CB1A38"/>
    <w:rsid w:val="17DC532F"/>
    <w:rsid w:val="17FB85D5"/>
    <w:rsid w:val="181A32D5"/>
    <w:rsid w:val="19731B79"/>
    <w:rsid w:val="19A24EF3"/>
    <w:rsid w:val="19C974D0"/>
    <w:rsid w:val="1A4D7935"/>
    <w:rsid w:val="1B7F6B39"/>
    <w:rsid w:val="1D200D99"/>
    <w:rsid w:val="1D4F1331"/>
    <w:rsid w:val="1DFB8E51"/>
    <w:rsid w:val="1DFEF420"/>
    <w:rsid w:val="1E3D10B6"/>
    <w:rsid w:val="1E626810"/>
    <w:rsid w:val="1E9870AF"/>
    <w:rsid w:val="1F795871"/>
    <w:rsid w:val="1FDF5B8B"/>
    <w:rsid w:val="1FEC1320"/>
    <w:rsid w:val="1FFFAF2F"/>
    <w:rsid w:val="20724DD0"/>
    <w:rsid w:val="20F164E6"/>
    <w:rsid w:val="21061D21"/>
    <w:rsid w:val="21EE38EF"/>
    <w:rsid w:val="224035F5"/>
    <w:rsid w:val="2286743D"/>
    <w:rsid w:val="22F249AB"/>
    <w:rsid w:val="24E84392"/>
    <w:rsid w:val="257D49D6"/>
    <w:rsid w:val="287E1D08"/>
    <w:rsid w:val="2AAD769D"/>
    <w:rsid w:val="2B9FBD37"/>
    <w:rsid w:val="2BB97180"/>
    <w:rsid w:val="2BFE22C9"/>
    <w:rsid w:val="2C06019D"/>
    <w:rsid w:val="2C0D3B2E"/>
    <w:rsid w:val="2C432A0B"/>
    <w:rsid w:val="2C5300D5"/>
    <w:rsid w:val="2CA73460"/>
    <w:rsid w:val="2D2F0B44"/>
    <w:rsid w:val="2D7F25E0"/>
    <w:rsid w:val="2DE50909"/>
    <w:rsid w:val="2E076E92"/>
    <w:rsid w:val="2E4D6330"/>
    <w:rsid w:val="2EE72320"/>
    <w:rsid w:val="2EE8455C"/>
    <w:rsid w:val="2FBF66AD"/>
    <w:rsid w:val="2FCDFFD2"/>
    <w:rsid w:val="2FE60929"/>
    <w:rsid w:val="2FE74774"/>
    <w:rsid w:val="2FF5305E"/>
    <w:rsid w:val="311F0E4E"/>
    <w:rsid w:val="31274B61"/>
    <w:rsid w:val="314B29C9"/>
    <w:rsid w:val="318E72F7"/>
    <w:rsid w:val="321D39AC"/>
    <w:rsid w:val="34360AE5"/>
    <w:rsid w:val="347A4058"/>
    <w:rsid w:val="36530971"/>
    <w:rsid w:val="36610C56"/>
    <w:rsid w:val="367832E6"/>
    <w:rsid w:val="36FFC8FE"/>
    <w:rsid w:val="371535DA"/>
    <w:rsid w:val="37338D70"/>
    <w:rsid w:val="37640A70"/>
    <w:rsid w:val="37672202"/>
    <w:rsid w:val="37E64FCC"/>
    <w:rsid w:val="38DB70E7"/>
    <w:rsid w:val="38FF3DFB"/>
    <w:rsid w:val="399B2983"/>
    <w:rsid w:val="39AF4872"/>
    <w:rsid w:val="39F55694"/>
    <w:rsid w:val="3A7FB0F8"/>
    <w:rsid w:val="3A8C41E7"/>
    <w:rsid w:val="3AD16F1E"/>
    <w:rsid w:val="3ADA2AC9"/>
    <w:rsid w:val="3AEC4778"/>
    <w:rsid w:val="3AF42DD1"/>
    <w:rsid w:val="3AF77198"/>
    <w:rsid w:val="3B406CC6"/>
    <w:rsid w:val="3BA803E3"/>
    <w:rsid w:val="3BBAD110"/>
    <w:rsid w:val="3BCE25E6"/>
    <w:rsid w:val="3BEBE36B"/>
    <w:rsid w:val="3BEF8A46"/>
    <w:rsid w:val="3C1B106D"/>
    <w:rsid w:val="3C534F15"/>
    <w:rsid w:val="3CFFEF0E"/>
    <w:rsid w:val="3DDA6C52"/>
    <w:rsid w:val="3DF08D52"/>
    <w:rsid w:val="3DFD8A6F"/>
    <w:rsid w:val="3E83087B"/>
    <w:rsid w:val="3EC929AD"/>
    <w:rsid w:val="3EE4A230"/>
    <w:rsid w:val="3EFE3D62"/>
    <w:rsid w:val="3F3F0FAE"/>
    <w:rsid w:val="3F7089E7"/>
    <w:rsid w:val="3FA7D73B"/>
    <w:rsid w:val="3FBFD61A"/>
    <w:rsid w:val="3FEC78FF"/>
    <w:rsid w:val="3FEF6A9A"/>
    <w:rsid w:val="3FFB2962"/>
    <w:rsid w:val="40FEFD5A"/>
    <w:rsid w:val="437ED7F4"/>
    <w:rsid w:val="43BF536F"/>
    <w:rsid w:val="43D12ED2"/>
    <w:rsid w:val="45E60474"/>
    <w:rsid w:val="46886E13"/>
    <w:rsid w:val="46CE0949"/>
    <w:rsid w:val="46FB7FF2"/>
    <w:rsid w:val="47130EE9"/>
    <w:rsid w:val="47744B6F"/>
    <w:rsid w:val="4791465E"/>
    <w:rsid w:val="482B5C12"/>
    <w:rsid w:val="486E14B8"/>
    <w:rsid w:val="48CD66D0"/>
    <w:rsid w:val="4B9EF9F5"/>
    <w:rsid w:val="4BA7BC6F"/>
    <w:rsid w:val="4BFD26C6"/>
    <w:rsid w:val="4CD7958D"/>
    <w:rsid w:val="4CE6400E"/>
    <w:rsid w:val="4D5670A7"/>
    <w:rsid w:val="4DB77B58"/>
    <w:rsid w:val="4DC84106"/>
    <w:rsid w:val="4E540763"/>
    <w:rsid w:val="4EA371C1"/>
    <w:rsid w:val="4F25240E"/>
    <w:rsid w:val="4F5D7111"/>
    <w:rsid w:val="4F7F56ED"/>
    <w:rsid w:val="4F8296AB"/>
    <w:rsid w:val="4F8E36B5"/>
    <w:rsid w:val="4FBF0274"/>
    <w:rsid w:val="4FFC105D"/>
    <w:rsid w:val="5028783C"/>
    <w:rsid w:val="505F1EFD"/>
    <w:rsid w:val="50EB9CDE"/>
    <w:rsid w:val="513D1102"/>
    <w:rsid w:val="519A03E7"/>
    <w:rsid w:val="523978C1"/>
    <w:rsid w:val="523F0755"/>
    <w:rsid w:val="53002666"/>
    <w:rsid w:val="53B034DF"/>
    <w:rsid w:val="547FF4FD"/>
    <w:rsid w:val="54FF96F0"/>
    <w:rsid w:val="55B262BD"/>
    <w:rsid w:val="55E56CF8"/>
    <w:rsid w:val="563D07A6"/>
    <w:rsid w:val="56B1376E"/>
    <w:rsid w:val="56BFA914"/>
    <w:rsid w:val="56DBF213"/>
    <w:rsid w:val="56FF554C"/>
    <w:rsid w:val="57DD83E0"/>
    <w:rsid w:val="57FF984E"/>
    <w:rsid w:val="58E72AA6"/>
    <w:rsid w:val="58FD9F0F"/>
    <w:rsid w:val="5A812E59"/>
    <w:rsid w:val="5AA86DB4"/>
    <w:rsid w:val="5B2E9F20"/>
    <w:rsid w:val="5B9C24F1"/>
    <w:rsid w:val="5B9FBBDA"/>
    <w:rsid w:val="5BAD63C1"/>
    <w:rsid w:val="5BDF70FA"/>
    <w:rsid w:val="5DA697EA"/>
    <w:rsid w:val="5DBF2606"/>
    <w:rsid w:val="5DDEF727"/>
    <w:rsid w:val="5EBF3A07"/>
    <w:rsid w:val="5EEC18B9"/>
    <w:rsid w:val="5F2447E2"/>
    <w:rsid w:val="5FCE16A9"/>
    <w:rsid w:val="5FD7EB8E"/>
    <w:rsid w:val="5FDED404"/>
    <w:rsid w:val="5FEB42C9"/>
    <w:rsid w:val="5FF7E3CA"/>
    <w:rsid w:val="5FF95E16"/>
    <w:rsid w:val="5FFA237F"/>
    <w:rsid w:val="5FFAAB87"/>
    <w:rsid w:val="5FFB7FE6"/>
    <w:rsid w:val="5FFDA0C5"/>
    <w:rsid w:val="5FFDFCB8"/>
    <w:rsid w:val="5FFECC32"/>
    <w:rsid w:val="610519C9"/>
    <w:rsid w:val="61105519"/>
    <w:rsid w:val="61D640C8"/>
    <w:rsid w:val="62BEDC60"/>
    <w:rsid w:val="63503AD8"/>
    <w:rsid w:val="64194C9E"/>
    <w:rsid w:val="6445786C"/>
    <w:rsid w:val="65377518"/>
    <w:rsid w:val="65379919"/>
    <w:rsid w:val="65C02314"/>
    <w:rsid w:val="669AF6D3"/>
    <w:rsid w:val="67AC14B0"/>
    <w:rsid w:val="67DB0527"/>
    <w:rsid w:val="67FA04E5"/>
    <w:rsid w:val="68567627"/>
    <w:rsid w:val="68DB1AF6"/>
    <w:rsid w:val="6958072F"/>
    <w:rsid w:val="69C217B5"/>
    <w:rsid w:val="69E14866"/>
    <w:rsid w:val="6A7EFB27"/>
    <w:rsid w:val="6AB314A5"/>
    <w:rsid w:val="6AFD149C"/>
    <w:rsid w:val="6B320384"/>
    <w:rsid w:val="6B4F92EB"/>
    <w:rsid w:val="6B7D13DB"/>
    <w:rsid w:val="6BA7C1A6"/>
    <w:rsid w:val="6BB60990"/>
    <w:rsid w:val="6BFC9376"/>
    <w:rsid w:val="6BFF0B84"/>
    <w:rsid w:val="6C0B047C"/>
    <w:rsid w:val="6CBC1017"/>
    <w:rsid w:val="6DCCA7A7"/>
    <w:rsid w:val="6DDCA49F"/>
    <w:rsid w:val="6DFE7176"/>
    <w:rsid w:val="6DFFCFE0"/>
    <w:rsid w:val="6E74020B"/>
    <w:rsid w:val="6E7FDD16"/>
    <w:rsid w:val="6EDD0D5A"/>
    <w:rsid w:val="6EF76928"/>
    <w:rsid w:val="6F7FA730"/>
    <w:rsid w:val="6FB642CA"/>
    <w:rsid w:val="6FBB455F"/>
    <w:rsid w:val="6FBC7B49"/>
    <w:rsid w:val="6FBF1DE1"/>
    <w:rsid w:val="6FBF4AD5"/>
    <w:rsid w:val="6FD61BFB"/>
    <w:rsid w:val="6FD6C6ED"/>
    <w:rsid w:val="6FFB21C8"/>
    <w:rsid w:val="6FFC496C"/>
    <w:rsid w:val="6FFF6A71"/>
    <w:rsid w:val="709C098B"/>
    <w:rsid w:val="70CF7C44"/>
    <w:rsid w:val="70FF6ABF"/>
    <w:rsid w:val="71701813"/>
    <w:rsid w:val="71DD197E"/>
    <w:rsid w:val="71FABD6B"/>
    <w:rsid w:val="72E676C5"/>
    <w:rsid w:val="72FFAF79"/>
    <w:rsid w:val="73AA2969"/>
    <w:rsid w:val="73BB804D"/>
    <w:rsid w:val="73BF65D2"/>
    <w:rsid w:val="73F9F934"/>
    <w:rsid w:val="74996D3A"/>
    <w:rsid w:val="74A77D79"/>
    <w:rsid w:val="74BB2C8C"/>
    <w:rsid w:val="74BF54B0"/>
    <w:rsid w:val="74D3280C"/>
    <w:rsid w:val="74EE2280"/>
    <w:rsid w:val="74EF65FD"/>
    <w:rsid w:val="74F20041"/>
    <w:rsid w:val="753D03C4"/>
    <w:rsid w:val="75437A3F"/>
    <w:rsid w:val="76D92A23"/>
    <w:rsid w:val="76E487CE"/>
    <w:rsid w:val="76EE5F7A"/>
    <w:rsid w:val="76F35D1B"/>
    <w:rsid w:val="76FE2417"/>
    <w:rsid w:val="76FE3E27"/>
    <w:rsid w:val="777DF5A6"/>
    <w:rsid w:val="777F5E6E"/>
    <w:rsid w:val="77BDF25C"/>
    <w:rsid w:val="77EEFBEE"/>
    <w:rsid w:val="77FD5D2A"/>
    <w:rsid w:val="77FE8785"/>
    <w:rsid w:val="78BEA677"/>
    <w:rsid w:val="78FAC16B"/>
    <w:rsid w:val="78FE0ABE"/>
    <w:rsid w:val="7918679B"/>
    <w:rsid w:val="794A55D0"/>
    <w:rsid w:val="79CFECC5"/>
    <w:rsid w:val="79D85CE8"/>
    <w:rsid w:val="79EBD6C0"/>
    <w:rsid w:val="79F7CD5C"/>
    <w:rsid w:val="79FD253F"/>
    <w:rsid w:val="7A322C02"/>
    <w:rsid w:val="7A6BFCF4"/>
    <w:rsid w:val="7A9D8F11"/>
    <w:rsid w:val="7AF65F04"/>
    <w:rsid w:val="7B7F9BCD"/>
    <w:rsid w:val="7BBE96DB"/>
    <w:rsid w:val="7BDF32E7"/>
    <w:rsid w:val="7BEB6207"/>
    <w:rsid w:val="7BEDAF4B"/>
    <w:rsid w:val="7BEE3EED"/>
    <w:rsid w:val="7BEEA462"/>
    <w:rsid w:val="7BEF2470"/>
    <w:rsid w:val="7BFF0040"/>
    <w:rsid w:val="7BFFF92C"/>
    <w:rsid w:val="7D3F20AD"/>
    <w:rsid w:val="7D7A1BEA"/>
    <w:rsid w:val="7DB33FEE"/>
    <w:rsid w:val="7DC82B2C"/>
    <w:rsid w:val="7DF59CB0"/>
    <w:rsid w:val="7E5C4AFF"/>
    <w:rsid w:val="7E5ED19D"/>
    <w:rsid w:val="7E5F3375"/>
    <w:rsid w:val="7E6F8AD6"/>
    <w:rsid w:val="7E722EDB"/>
    <w:rsid w:val="7E7F5ECF"/>
    <w:rsid w:val="7E965BC6"/>
    <w:rsid w:val="7E99A4C4"/>
    <w:rsid w:val="7E9F3AAE"/>
    <w:rsid w:val="7EAFF8F0"/>
    <w:rsid w:val="7ED79517"/>
    <w:rsid w:val="7EE760AC"/>
    <w:rsid w:val="7EEF52BA"/>
    <w:rsid w:val="7EF7ECCF"/>
    <w:rsid w:val="7EFF9EBD"/>
    <w:rsid w:val="7F1D262A"/>
    <w:rsid w:val="7F1F889A"/>
    <w:rsid w:val="7F4108E0"/>
    <w:rsid w:val="7F4F1400"/>
    <w:rsid w:val="7F78141A"/>
    <w:rsid w:val="7F9F0B1C"/>
    <w:rsid w:val="7FBBC370"/>
    <w:rsid w:val="7FBE41AC"/>
    <w:rsid w:val="7FD73690"/>
    <w:rsid w:val="7FD78F52"/>
    <w:rsid w:val="7FDB588B"/>
    <w:rsid w:val="7FDF8340"/>
    <w:rsid w:val="7FEFC2D4"/>
    <w:rsid w:val="7FF610BC"/>
    <w:rsid w:val="7FF909C7"/>
    <w:rsid w:val="7FFCC047"/>
    <w:rsid w:val="7FFD99B0"/>
    <w:rsid w:val="7FFDA9F9"/>
    <w:rsid w:val="7FFE1C17"/>
    <w:rsid w:val="7FFF0082"/>
    <w:rsid w:val="7FFFA570"/>
    <w:rsid w:val="7FFFFF31"/>
    <w:rsid w:val="87736CD3"/>
    <w:rsid w:val="8DB97F42"/>
    <w:rsid w:val="8EBB84DA"/>
    <w:rsid w:val="8EEB913D"/>
    <w:rsid w:val="8FD714D3"/>
    <w:rsid w:val="917B42C5"/>
    <w:rsid w:val="93FF0EBC"/>
    <w:rsid w:val="9778CC77"/>
    <w:rsid w:val="9796E1B2"/>
    <w:rsid w:val="97CFF636"/>
    <w:rsid w:val="985E84E1"/>
    <w:rsid w:val="9CFFA797"/>
    <w:rsid w:val="9EDDE5C8"/>
    <w:rsid w:val="9EFF8F76"/>
    <w:rsid w:val="9FAFF890"/>
    <w:rsid w:val="9FFB06BB"/>
    <w:rsid w:val="A36369C6"/>
    <w:rsid w:val="A4FFA4C1"/>
    <w:rsid w:val="A89F9F6D"/>
    <w:rsid w:val="AC4F5802"/>
    <w:rsid w:val="ACF8B620"/>
    <w:rsid w:val="ACFFD341"/>
    <w:rsid w:val="ADBD3C4D"/>
    <w:rsid w:val="AF4DA0D7"/>
    <w:rsid w:val="B5F71DCA"/>
    <w:rsid w:val="B77E5908"/>
    <w:rsid w:val="B77F4600"/>
    <w:rsid w:val="B7D7ABA8"/>
    <w:rsid w:val="B9FF43AA"/>
    <w:rsid w:val="BAF7A3BE"/>
    <w:rsid w:val="BBDB0EE8"/>
    <w:rsid w:val="BBFD0483"/>
    <w:rsid w:val="BCBFAE3A"/>
    <w:rsid w:val="BCDFF1AC"/>
    <w:rsid w:val="BCF57A2F"/>
    <w:rsid w:val="BD779A6D"/>
    <w:rsid w:val="BDD52D36"/>
    <w:rsid w:val="BDDF57B2"/>
    <w:rsid w:val="BEF53C99"/>
    <w:rsid w:val="BF2E9DDA"/>
    <w:rsid w:val="BF54B72C"/>
    <w:rsid w:val="BFA39103"/>
    <w:rsid w:val="BFB603D4"/>
    <w:rsid w:val="BFBA6E31"/>
    <w:rsid w:val="BFBC99F5"/>
    <w:rsid w:val="BFBDF833"/>
    <w:rsid w:val="BFBE803D"/>
    <w:rsid w:val="BFF20DA8"/>
    <w:rsid w:val="BFF32402"/>
    <w:rsid w:val="BFF36FEF"/>
    <w:rsid w:val="BFF77DE2"/>
    <w:rsid w:val="BFFB868D"/>
    <w:rsid w:val="BFFC2EE6"/>
    <w:rsid w:val="BFFEC7F5"/>
    <w:rsid w:val="BFFF1E46"/>
    <w:rsid w:val="C5B16323"/>
    <w:rsid w:val="C5FD5520"/>
    <w:rsid w:val="C7E212D0"/>
    <w:rsid w:val="C7FE8653"/>
    <w:rsid w:val="CDEE10B9"/>
    <w:rsid w:val="CF2AA3CC"/>
    <w:rsid w:val="CF8D6689"/>
    <w:rsid w:val="CFFF62D6"/>
    <w:rsid w:val="D23FED8D"/>
    <w:rsid w:val="D3FCBC4E"/>
    <w:rsid w:val="D4EB1DA3"/>
    <w:rsid w:val="D5F6DDAD"/>
    <w:rsid w:val="D7749F36"/>
    <w:rsid w:val="D7FF05B1"/>
    <w:rsid w:val="D7FF194B"/>
    <w:rsid w:val="D8DEB598"/>
    <w:rsid w:val="DBF1794C"/>
    <w:rsid w:val="DBF53C1D"/>
    <w:rsid w:val="DD39A5F6"/>
    <w:rsid w:val="DD3F2A38"/>
    <w:rsid w:val="DDF71E81"/>
    <w:rsid w:val="DE27C29F"/>
    <w:rsid w:val="DE7C4424"/>
    <w:rsid w:val="DEBE1479"/>
    <w:rsid w:val="DECDA1AC"/>
    <w:rsid w:val="DF3DF56F"/>
    <w:rsid w:val="DF8F828C"/>
    <w:rsid w:val="DF940BBA"/>
    <w:rsid w:val="DF9499F3"/>
    <w:rsid w:val="DFAAE113"/>
    <w:rsid w:val="DFB32938"/>
    <w:rsid w:val="DFC39439"/>
    <w:rsid w:val="DFD5E1A8"/>
    <w:rsid w:val="E2DD4EB1"/>
    <w:rsid w:val="E37F141B"/>
    <w:rsid w:val="E3AC1079"/>
    <w:rsid w:val="E3F52B2F"/>
    <w:rsid w:val="E3F9AA6E"/>
    <w:rsid w:val="E66FEE49"/>
    <w:rsid w:val="E6BDA7E1"/>
    <w:rsid w:val="E7D67A7D"/>
    <w:rsid w:val="E7D7C452"/>
    <w:rsid w:val="E7FC1B2D"/>
    <w:rsid w:val="E93F8042"/>
    <w:rsid w:val="E9CD19C4"/>
    <w:rsid w:val="EB3D9FEE"/>
    <w:rsid w:val="EB3DCA39"/>
    <w:rsid w:val="EBAFE2E1"/>
    <w:rsid w:val="EBFCAF29"/>
    <w:rsid w:val="EBFF3942"/>
    <w:rsid w:val="ED1EB577"/>
    <w:rsid w:val="ED7E5413"/>
    <w:rsid w:val="ED7F6B97"/>
    <w:rsid w:val="EDDC1381"/>
    <w:rsid w:val="EDFFADE2"/>
    <w:rsid w:val="EE7C0FC5"/>
    <w:rsid w:val="EEEF2888"/>
    <w:rsid w:val="EEFF4C64"/>
    <w:rsid w:val="EF77555A"/>
    <w:rsid w:val="EFDE3E74"/>
    <w:rsid w:val="EFF24C74"/>
    <w:rsid w:val="EFFB5C3A"/>
    <w:rsid w:val="EFFC3DCD"/>
    <w:rsid w:val="F1DD4D25"/>
    <w:rsid w:val="F1DEF2E2"/>
    <w:rsid w:val="F27E7FEF"/>
    <w:rsid w:val="F3FB3BBE"/>
    <w:rsid w:val="F4F7464D"/>
    <w:rsid w:val="F57988D2"/>
    <w:rsid w:val="F5BF294B"/>
    <w:rsid w:val="F5DE0ED3"/>
    <w:rsid w:val="F5EE4472"/>
    <w:rsid w:val="F5FF13D7"/>
    <w:rsid w:val="F6ED39F2"/>
    <w:rsid w:val="F6EF45B0"/>
    <w:rsid w:val="F6F09DA0"/>
    <w:rsid w:val="F6F2EDB4"/>
    <w:rsid w:val="F73FCEC2"/>
    <w:rsid w:val="F74F34E5"/>
    <w:rsid w:val="F757CE9D"/>
    <w:rsid w:val="F75E2603"/>
    <w:rsid w:val="F77ECEF6"/>
    <w:rsid w:val="F79ECEE0"/>
    <w:rsid w:val="F7A7D917"/>
    <w:rsid w:val="F7AFAE35"/>
    <w:rsid w:val="F7EF531C"/>
    <w:rsid w:val="F7EF725B"/>
    <w:rsid w:val="F7FF4F44"/>
    <w:rsid w:val="F97ED065"/>
    <w:rsid w:val="F9BEA118"/>
    <w:rsid w:val="F9DEE0CE"/>
    <w:rsid w:val="F9FFE5AF"/>
    <w:rsid w:val="FA7FCD01"/>
    <w:rsid w:val="FABBD980"/>
    <w:rsid w:val="FAE7C9DF"/>
    <w:rsid w:val="FAF90E4A"/>
    <w:rsid w:val="FB156C40"/>
    <w:rsid w:val="FB3A79EC"/>
    <w:rsid w:val="FB5EA87F"/>
    <w:rsid w:val="FB5F0E18"/>
    <w:rsid w:val="FB675379"/>
    <w:rsid w:val="FB7BF8CF"/>
    <w:rsid w:val="FBB6EBE7"/>
    <w:rsid w:val="FBBB037F"/>
    <w:rsid w:val="FBDD13B6"/>
    <w:rsid w:val="FBDFE8E4"/>
    <w:rsid w:val="FBFEB875"/>
    <w:rsid w:val="FBFFD47D"/>
    <w:rsid w:val="FBFFEB88"/>
    <w:rsid w:val="FBFFFF16"/>
    <w:rsid w:val="FCBA5A63"/>
    <w:rsid w:val="FCFE2285"/>
    <w:rsid w:val="FD6E8ECF"/>
    <w:rsid w:val="FD7107F9"/>
    <w:rsid w:val="FD97A96A"/>
    <w:rsid w:val="FDD7A4F8"/>
    <w:rsid w:val="FDEE3B06"/>
    <w:rsid w:val="FDEE412C"/>
    <w:rsid w:val="FDFDB05D"/>
    <w:rsid w:val="FDFEBBE7"/>
    <w:rsid w:val="FDFF89E9"/>
    <w:rsid w:val="FDFF8B3E"/>
    <w:rsid w:val="FE7F11B9"/>
    <w:rsid w:val="FEB721D1"/>
    <w:rsid w:val="FEDF074F"/>
    <w:rsid w:val="FEEC8C54"/>
    <w:rsid w:val="FEEFCD03"/>
    <w:rsid w:val="FEF7324F"/>
    <w:rsid w:val="FF0F728F"/>
    <w:rsid w:val="FF3FAF23"/>
    <w:rsid w:val="FF3FEF99"/>
    <w:rsid w:val="FF6F3E2A"/>
    <w:rsid w:val="FF729BF0"/>
    <w:rsid w:val="FF730A99"/>
    <w:rsid w:val="FF7F4141"/>
    <w:rsid w:val="FF7F4712"/>
    <w:rsid w:val="FF8D3D9B"/>
    <w:rsid w:val="FFAB6CD7"/>
    <w:rsid w:val="FFB7942E"/>
    <w:rsid w:val="FFB7AD61"/>
    <w:rsid w:val="FFBAD902"/>
    <w:rsid w:val="FFBBFFCD"/>
    <w:rsid w:val="FFBD2BC8"/>
    <w:rsid w:val="FFBFADEC"/>
    <w:rsid w:val="FFBFAEA1"/>
    <w:rsid w:val="FFBFD3C2"/>
    <w:rsid w:val="FFC70886"/>
    <w:rsid w:val="FFC794A1"/>
    <w:rsid w:val="FFCFFA2A"/>
    <w:rsid w:val="FFD53850"/>
    <w:rsid w:val="FFDD4879"/>
    <w:rsid w:val="FFDEC963"/>
    <w:rsid w:val="FFEEC209"/>
    <w:rsid w:val="FFF93BD1"/>
    <w:rsid w:val="FFF99148"/>
    <w:rsid w:val="FFF9AD8A"/>
    <w:rsid w:val="FFFBEFCF"/>
    <w:rsid w:val="FFFD9B31"/>
    <w:rsid w:val="FFFDFC56"/>
    <w:rsid w:val="FFFF4148"/>
    <w:rsid w:val="FFFF83E5"/>
    <w:rsid w:val="FFFF9F78"/>
    <w:rsid w:val="FFFFBBA7"/>
    <w:rsid w:val="FFFFE9F3"/>
    <w:rsid w:val="FFFFFA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1"/>
    <w:qFormat/>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6">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ascii="Times New Roman" w:hAnsi="Times New Roman" w:eastAsia="宋体" w:cs="Times New Roman"/>
      <w:sz w:val="28"/>
      <w:szCs w:val="20"/>
    </w:rPr>
  </w:style>
  <w:style w:type="paragraph" w:styleId="3">
    <w:name w:val="Plain Text"/>
    <w:basedOn w:val="1"/>
    <w:qFormat/>
    <w:uiPriority w:val="0"/>
    <w:rPr>
      <w:rFonts w:ascii="宋体" w:hAnsi="Courier New" w:eastAsia="宋体"/>
      <w:kern w:val="2"/>
      <w:sz w:val="21"/>
      <w:lang w:val="en-US" w:eastAsia="zh-CN" w:bidi="ar-SA"/>
    </w:rPr>
  </w:style>
  <w:style w:type="paragraph" w:styleId="7">
    <w:name w:val="toc 7"/>
    <w:basedOn w:val="1"/>
    <w:next w:val="1"/>
    <w:qFormat/>
    <w:uiPriority w:val="0"/>
    <w:pPr>
      <w:ind w:left="2520" w:leftChars="1200"/>
    </w:pPr>
  </w:style>
  <w:style w:type="paragraph" w:styleId="8">
    <w:name w:val="Normal Indent"/>
    <w:basedOn w:val="1"/>
    <w:link w:val="32"/>
    <w:qFormat/>
    <w:uiPriority w:val="0"/>
    <w:pPr>
      <w:ind w:firstLine="200" w:firstLineChars="200"/>
    </w:pPr>
  </w:style>
  <w:style w:type="paragraph" w:styleId="9">
    <w:name w:val="annotation text"/>
    <w:basedOn w:val="1"/>
    <w:link w:val="33"/>
    <w:qFormat/>
    <w:uiPriority w:val="0"/>
    <w:pPr>
      <w:jc w:val="left"/>
    </w:pPr>
  </w:style>
  <w:style w:type="paragraph" w:styleId="10">
    <w:name w:val="Salutation"/>
    <w:basedOn w:val="1"/>
    <w:next w:val="1"/>
    <w:qFormat/>
    <w:uiPriority w:val="0"/>
  </w:style>
  <w:style w:type="paragraph" w:styleId="11">
    <w:name w:val="Body Text Indent"/>
    <w:basedOn w:val="1"/>
    <w:qFormat/>
    <w:uiPriority w:val="0"/>
    <w:pPr>
      <w:ind w:firstLine="630"/>
    </w:pPr>
    <w:rPr>
      <w:sz w:val="32"/>
      <w:szCs w:val="20"/>
    </w:rPr>
  </w:style>
  <w:style w:type="paragraph" w:styleId="12">
    <w:name w:val="toc 5"/>
    <w:basedOn w:val="1"/>
    <w:next w:val="1"/>
    <w:qFormat/>
    <w:uiPriority w:val="0"/>
    <w:pPr>
      <w:ind w:left="1680" w:leftChars="800"/>
    </w:pPr>
  </w:style>
  <w:style w:type="paragraph" w:styleId="13">
    <w:name w:val="toc 3"/>
    <w:basedOn w:val="1"/>
    <w:next w:val="1"/>
    <w:qFormat/>
    <w:uiPriority w:val="0"/>
    <w:pPr>
      <w:ind w:left="840" w:leftChars="400"/>
    </w:pPr>
  </w:style>
  <w:style w:type="paragraph" w:styleId="14">
    <w:name w:val="toc 8"/>
    <w:basedOn w:val="1"/>
    <w:next w:val="1"/>
    <w:qFormat/>
    <w:uiPriority w:val="0"/>
    <w:pPr>
      <w:ind w:left="2940" w:leftChars="1400"/>
    </w:pPr>
  </w:style>
  <w:style w:type="paragraph" w:styleId="15">
    <w:name w:val="Balloon Text"/>
    <w:basedOn w:val="1"/>
    <w:link w:val="34"/>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qFormat/>
    <w:uiPriority w:val="39"/>
  </w:style>
  <w:style w:type="paragraph" w:styleId="19">
    <w:name w:val="toc 4"/>
    <w:basedOn w:val="1"/>
    <w:next w:val="1"/>
    <w:qFormat/>
    <w:uiPriority w:val="0"/>
    <w:pPr>
      <w:ind w:left="1260" w:leftChars="600"/>
    </w:pPr>
  </w:style>
  <w:style w:type="paragraph" w:styleId="20">
    <w:name w:val="toc 6"/>
    <w:basedOn w:val="1"/>
    <w:next w:val="1"/>
    <w:qFormat/>
    <w:uiPriority w:val="0"/>
    <w:pPr>
      <w:ind w:left="2100" w:leftChars="1000"/>
    </w:pPr>
  </w:style>
  <w:style w:type="paragraph" w:styleId="21">
    <w:name w:val="toc 2"/>
    <w:basedOn w:val="1"/>
    <w:next w:val="1"/>
    <w:qFormat/>
    <w:uiPriority w:val="0"/>
    <w:pPr>
      <w:ind w:left="420" w:leftChars="200"/>
    </w:pPr>
  </w:style>
  <w:style w:type="paragraph" w:styleId="22">
    <w:name w:val="toc 9"/>
    <w:basedOn w:val="1"/>
    <w:next w:val="1"/>
    <w:qFormat/>
    <w:uiPriority w:val="0"/>
    <w:pPr>
      <w:ind w:left="3360" w:leftChars="1600"/>
    </w:pPr>
  </w:style>
  <w:style w:type="paragraph" w:styleId="23">
    <w:name w:val="Normal (Web)"/>
    <w:basedOn w:val="1"/>
    <w:qFormat/>
    <w:uiPriority w:val="0"/>
    <w:pPr>
      <w:widowControl/>
      <w:spacing w:before="100" w:beforeAutospacing="1" w:after="100" w:afterAutospacing="1"/>
      <w:jc w:val="left"/>
    </w:pPr>
    <w:rPr>
      <w:rFonts w:ascii="宋体"/>
      <w:kern w:val="0"/>
      <w:sz w:val="18"/>
      <w:szCs w:val="18"/>
    </w:rPr>
  </w:style>
  <w:style w:type="paragraph" w:styleId="24">
    <w:name w:val="annotation subject"/>
    <w:basedOn w:val="9"/>
    <w:next w:val="9"/>
    <w:link w:val="35"/>
    <w:qFormat/>
    <w:uiPriority w:val="0"/>
    <w:rPr>
      <w:b/>
      <w:bCs/>
    </w:rPr>
  </w:style>
  <w:style w:type="table" w:styleId="26">
    <w:name w:val="Table Grid"/>
    <w:basedOn w:val="2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qFormat/>
    <w:uiPriority w:val="0"/>
  </w:style>
  <w:style w:type="character" w:styleId="29">
    <w:name w:val="Hyperlink"/>
    <w:unhideWhenUsed/>
    <w:qFormat/>
    <w:uiPriority w:val="99"/>
    <w:rPr>
      <w:color w:val="0000FF"/>
      <w:u w:val="single"/>
    </w:rPr>
  </w:style>
  <w:style w:type="character" w:styleId="30">
    <w:name w:val="annotation reference"/>
    <w:qFormat/>
    <w:uiPriority w:val="0"/>
    <w:rPr>
      <w:sz w:val="21"/>
      <w:szCs w:val="21"/>
    </w:rPr>
  </w:style>
  <w:style w:type="character" w:customStyle="1" w:styleId="31">
    <w:name w:val="标题 1 Char"/>
    <w:link w:val="4"/>
    <w:qFormat/>
    <w:uiPriority w:val="0"/>
    <w:rPr>
      <w:b/>
      <w:bCs/>
      <w:kern w:val="44"/>
      <w:sz w:val="44"/>
      <w:szCs w:val="44"/>
    </w:rPr>
  </w:style>
  <w:style w:type="character" w:customStyle="1" w:styleId="32">
    <w:name w:val="正文缩进 Char"/>
    <w:link w:val="8"/>
    <w:qFormat/>
    <w:uiPriority w:val="0"/>
    <w:rPr>
      <w:kern w:val="2"/>
      <w:sz w:val="21"/>
      <w:szCs w:val="24"/>
    </w:rPr>
  </w:style>
  <w:style w:type="character" w:customStyle="1" w:styleId="33">
    <w:name w:val="批注文字 Char"/>
    <w:link w:val="9"/>
    <w:qFormat/>
    <w:uiPriority w:val="0"/>
    <w:rPr>
      <w:kern w:val="2"/>
      <w:sz w:val="21"/>
      <w:szCs w:val="24"/>
    </w:rPr>
  </w:style>
  <w:style w:type="character" w:customStyle="1" w:styleId="34">
    <w:name w:val="批注框文本 Char"/>
    <w:link w:val="15"/>
    <w:qFormat/>
    <w:uiPriority w:val="0"/>
    <w:rPr>
      <w:kern w:val="2"/>
      <w:sz w:val="18"/>
      <w:szCs w:val="18"/>
    </w:rPr>
  </w:style>
  <w:style w:type="character" w:customStyle="1" w:styleId="35">
    <w:name w:val="批注主题 Char"/>
    <w:link w:val="24"/>
    <w:qFormat/>
    <w:uiPriority w:val="0"/>
    <w:rPr>
      <w:b/>
      <w:bCs/>
      <w:kern w:val="2"/>
      <w:sz w:val="21"/>
      <w:szCs w:val="24"/>
    </w:rPr>
  </w:style>
  <w:style w:type="character" w:customStyle="1" w:styleId="36">
    <w:name w:val="font111"/>
    <w:qFormat/>
    <w:uiPriority w:val="0"/>
    <w:rPr>
      <w:rFonts w:hint="default" w:ascii="Eʩ" w:hAnsi="Eʩ" w:eastAsia="Eʩ" w:cs="Eʩ"/>
      <w:color w:val="000000"/>
      <w:sz w:val="21"/>
      <w:szCs w:val="21"/>
      <w:u w:val="single"/>
    </w:rPr>
  </w:style>
  <w:style w:type="character" w:customStyle="1" w:styleId="37">
    <w:name w:val="main-text1"/>
    <w:qFormat/>
    <w:uiPriority w:val="0"/>
    <w:rPr>
      <w:sz w:val="21"/>
      <w:szCs w:val="21"/>
    </w:rPr>
  </w:style>
  <w:style w:type="character" w:customStyle="1" w:styleId="38">
    <w:name w:val="font91"/>
    <w:qFormat/>
    <w:uiPriority w:val="0"/>
    <w:rPr>
      <w:rFonts w:hint="eastAsia" w:ascii="宋体" w:hAnsi="宋体" w:eastAsia="宋体" w:cs="宋体"/>
      <w:color w:val="FF0000"/>
      <w:sz w:val="21"/>
      <w:szCs w:val="21"/>
      <w:u w:val="single"/>
    </w:rPr>
  </w:style>
  <w:style w:type="character" w:customStyle="1" w:styleId="39">
    <w:name w:val="font31"/>
    <w:qFormat/>
    <w:uiPriority w:val="0"/>
    <w:rPr>
      <w:rFonts w:hint="eastAsia" w:ascii="宋体" w:hAnsi="宋体" w:eastAsia="宋体" w:cs="宋体"/>
      <w:color w:val="000000"/>
      <w:sz w:val="21"/>
      <w:szCs w:val="21"/>
      <w:u w:val="none"/>
    </w:rPr>
  </w:style>
  <w:style w:type="character" w:customStyle="1" w:styleId="40">
    <w:name w:val="font101"/>
    <w:qFormat/>
    <w:uiPriority w:val="0"/>
    <w:rPr>
      <w:rFonts w:hint="eastAsia" w:ascii="宋体" w:hAnsi="宋体" w:eastAsia="宋体" w:cs="宋体"/>
      <w:color w:val="000000"/>
      <w:sz w:val="21"/>
      <w:szCs w:val="21"/>
      <w:u w:val="single"/>
    </w:rPr>
  </w:style>
  <w:style w:type="paragraph" w:customStyle="1" w:styleId="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
    <w:name w:val="_Style 2"/>
    <w:basedOn w:val="1"/>
    <w:qFormat/>
    <w:uiPriority w:val="0"/>
    <w:pPr>
      <w:ind w:firstLine="420" w:firstLineChars="200"/>
    </w:pPr>
    <w:rPr>
      <w:sz w:val="18"/>
      <w:szCs w:val="18"/>
    </w:rPr>
  </w:style>
  <w:style w:type="paragraph" w:customStyle="1" w:styleId="43">
    <w:name w:val="正文首行缩进两字符"/>
    <w:basedOn w:val="1"/>
    <w:qFormat/>
    <w:uiPriority w:val="0"/>
    <w:pPr>
      <w:spacing w:line="360" w:lineRule="auto"/>
      <w:ind w:firstLine="200" w:firstLineChars="200"/>
    </w:pPr>
  </w:style>
  <w:style w:type="paragraph" w:customStyle="1" w:styleId="44">
    <w:name w:val="Normal"/>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45">
    <w:name w:val="彩色列表 - 强调文字颜色 11"/>
    <w:basedOn w:val="1"/>
    <w:qFormat/>
    <w:uiPriority w:val="34"/>
    <w:pPr>
      <w:ind w:firstLine="420" w:firstLineChars="200"/>
    </w:pPr>
    <w:rPr>
      <w:szCs w:val="22"/>
    </w:rPr>
  </w:style>
  <w:style w:type="paragraph" w:customStyle="1" w:styleId="46">
    <w:name w:val="表格"/>
    <w:basedOn w:val="1"/>
    <w:qFormat/>
    <w:uiPriority w:val="0"/>
    <w:pPr>
      <w:spacing w:line="400" w:lineRule="exact"/>
    </w:pPr>
    <w:rPr>
      <w:sz w:val="24"/>
      <w:szCs w:val="24"/>
    </w:rPr>
  </w:style>
  <w:style w:type="paragraph" w:styleId="47">
    <w:name w:val="List Paragraph"/>
    <w:basedOn w:val="1"/>
    <w:qFormat/>
    <w:uiPriority w:val="34"/>
    <w:pPr>
      <w:ind w:firstLine="420" w:firstLineChars="200"/>
    </w:pPr>
    <w:rPr>
      <w:rFonts w:ascii="Calibri" w:hAnsi="Calibri"/>
      <w:szCs w:val="22"/>
    </w:rPr>
  </w:style>
  <w:style w:type="paragraph" w:customStyle="1" w:styleId="48">
    <w:name w:val="样式 首行缩进:  2 字符"/>
    <w:basedOn w:val="1"/>
    <w:qFormat/>
    <w:uiPriority w:val="0"/>
    <w:pPr>
      <w:spacing w:line="400" w:lineRule="exact"/>
      <w:ind w:firstLine="200" w:firstLineChars="200"/>
    </w:pPr>
    <w:rPr>
      <w:rFonts w:cs="宋体"/>
      <w:sz w:val="24"/>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47</Pages>
  <Words>4254</Words>
  <Characters>24253</Characters>
  <Lines>202</Lines>
  <Paragraphs>56</Paragraphs>
  <TotalTime>0</TotalTime>
  <ScaleCrop>false</ScaleCrop>
  <LinksUpToDate>false</LinksUpToDate>
  <CharactersWithSpaces>28451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2019-03-03T23:16:00Z</dcterms:created>
  <dc:creator>s</dc:creator>
  <cp:lastModifiedBy>刘文博</cp:lastModifiedBy>
  <cp:lastPrinted>2020-10-20T17:46:00Z</cp:lastPrinted>
  <dcterms:modified xsi:type="dcterms:W3CDTF">2023-11-29T09:24:10Z</dcterms:modified>
  <dc:title>招标编号：xxxx [xxxx] xx号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AA49411CBDC0D360CC5F5C6546A44D58</vt:lpwstr>
  </property>
</Properties>
</file>